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9BB" w:rsidRDefault="007B7CBF" w:rsidP="007B7CBF">
      <w:pPr>
        <w:tabs>
          <w:tab w:val="left" w:pos="6180"/>
        </w:tabs>
        <w:spacing w:after="240"/>
        <w:ind w:right="1984"/>
      </w:pPr>
      <w:r>
        <w:tab/>
      </w:r>
    </w:p>
    <w:p w:rsidR="003F037A" w:rsidRDefault="003F037A" w:rsidP="003F037A">
      <w:pPr>
        <w:pStyle w:val="Titre1"/>
      </w:pPr>
      <w:r>
        <w:t>information précontractuelle du franchisé</w:t>
      </w:r>
    </w:p>
    <w:p w:rsidR="003F037A" w:rsidRDefault="003F037A" w:rsidP="003F037A">
      <w:pPr>
        <w:spacing w:before="240" w:after="240"/>
        <w:ind w:right="1984"/>
      </w:pPr>
      <w:r>
        <w:t>Dans deux arrêt</w:t>
      </w:r>
      <w:r w:rsidR="00B63D15">
        <w:t>s</w:t>
      </w:r>
      <w:r w:rsidR="00C6461E">
        <w:t xml:space="preserve"> en date du 5 janvier 2015</w:t>
      </w:r>
      <w:r w:rsidR="00483D54">
        <w:t xml:space="preserve"> (14-15704 et 14-15708)</w:t>
      </w:r>
      <w:r w:rsidR="00C6461E">
        <w:t>, la C</w:t>
      </w:r>
      <w:r>
        <w:t xml:space="preserve">hambre commerciale de la </w:t>
      </w:r>
      <w:r w:rsidR="00B63D15">
        <w:t>C</w:t>
      </w:r>
      <w:r>
        <w:t xml:space="preserve">our de cassation a précisé sa ligne jurisprudentielle quant </w:t>
      </w:r>
      <w:r w:rsidR="00C6461E">
        <w:t>à l’article L. </w:t>
      </w:r>
      <w:r>
        <w:t>330-3 du Code de commerce.</w:t>
      </w:r>
      <w:r w:rsidR="00C6461E">
        <w:t xml:space="preserve"> Rappelons que cet article oblige le franchiseur à fournir certaines informations aux franchisés. La sanction du défaut de ces formalités pose cependant question.</w:t>
      </w:r>
    </w:p>
    <w:p w:rsidR="003F037A" w:rsidRDefault="003F037A" w:rsidP="003F037A">
      <w:pPr>
        <w:spacing w:before="240" w:after="240"/>
        <w:ind w:right="1984"/>
      </w:pPr>
      <w:r>
        <w:t>Dans les deux espèces, le franchisé se plaignait de ne pas s’être vu remis de document d’information précontractuelle et soulignait que les résultats qu’il avait obtenus étai</w:t>
      </w:r>
      <w:r w:rsidR="00B63D15">
        <w:t>en</w:t>
      </w:r>
      <w:r>
        <w:t xml:space="preserve">t en décalage par rapport au prévisionnel fourni par le franchiseur. </w:t>
      </w:r>
    </w:p>
    <w:p w:rsidR="003F037A" w:rsidRDefault="003F037A" w:rsidP="003F037A">
      <w:pPr>
        <w:spacing w:before="240" w:after="240"/>
        <w:ind w:right="1984"/>
      </w:pPr>
      <w:r>
        <w:t>La Cour refuse d’accéder à sa demande. Elle souligne qu’il a exercé la profession de courtier pendant vingt ans dans la ville où il s’était installé (dans les deux espèces). Il avait donc une bonne connaissance du marché où il évoluait. Dans les deux cas, la Cour constate également que les prévisions fournies en début de contrat sur la rentabilité du contrat ne pouvai</w:t>
      </w:r>
      <w:r w:rsidR="00B63D15">
        <w:t>en</w:t>
      </w:r>
      <w:r>
        <w:t xml:space="preserve">t avoir de valeur contractuelle. Dans un cas comme dans l’autre, elle estime que le franchiseur n’avait pas participé à l’élaboration du compte d’exploitation prévisionnel. </w:t>
      </w:r>
      <w:r w:rsidR="00C6461E">
        <w:t xml:space="preserve">Ceci justifie que le franchisé n’invoque pas d’erreur sur la </w:t>
      </w:r>
      <w:r w:rsidR="0008754A">
        <w:t>rentabilité</w:t>
      </w:r>
      <w:r w:rsidR="00C6461E">
        <w:t>.</w:t>
      </w:r>
    </w:p>
    <w:p w:rsidR="002C57B4" w:rsidRDefault="00B63D15" w:rsidP="00BC528B">
      <w:pPr>
        <w:pStyle w:val="Titre1"/>
      </w:pPr>
      <w:r>
        <w:t>L</w:t>
      </w:r>
      <w:r w:rsidR="007D5170">
        <w:t>a saisie</w:t>
      </w:r>
      <w:r>
        <w:t>-</w:t>
      </w:r>
      <w:r w:rsidR="00570818">
        <w:t>attribution</w:t>
      </w:r>
      <w:r w:rsidR="007D5170">
        <w:t xml:space="preserve"> d’un yacht</w:t>
      </w:r>
      <w:r w:rsidR="00371952">
        <w:t xml:space="preserve"> est soumise au droit commun des contrats</w:t>
      </w:r>
      <w:r w:rsidR="007D5170">
        <w:t>.</w:t>
      </w:r>
    </w:p>
    <w:p w:rsidR="007108F7" w:rsidRDefault="007108F7" w:rsidP="00BC528B">
      <w:pPr>
        <w:spacing w:before="240" w:after="240"/>
        <w:ind w:right="1984"/>
      </w:pPr>
      <w:r>
        <w:t>La Chambre commerciale de la Cour de cassation s’est prononcée le 15 décembre dernier sur la saisie-attribution d’un yacht et le fondement nécessaire pour l’obtenir (pourvoi n°14-12.348).</w:t>
      </w:r>
    </w:p>
    <w:p w:rsidR="007D5170" w:rsidRDefault="007D5170" w:rsidP="00BC528B">
      <w:pPr>
        <w:spacing w:before="240" w:after="240"/>
        <w:ind w:right="1984"/>
      </w:pPr>
      <w:r>
        <w:t>Le propriétaire d’un yacht qui avait conclu un contrat d’entreprise se plaignait du défaut de livraison du navire dans les délais prévus. De ce fait</w:t>
      </w:r>
      <w:r w:rsidR="00371952">
        <w:t xml:space="preserve">, il réclama la saisie-attribution </w:t>
      </w:r>
      <w:r>
        <w:t>du bateau</w:t>
      </w:r>
      <w:r w:rsidR="009E057E">
        <w:t xml:space="preserve"> par une ordonnance sur requête, ce que lui accorda le tribunal de commerce. L’entrepreneur formula une demande en rétractation qui lui fut refusée et se pourvut en cassation.</w:t>
      </w:r>
    </w:p>
    <w:p w:rsidR="009E057E" w:rsidRDefault="009E057E" w:rsidP="00BC528B">
      <w:pPr>
        <w:spacing w:before="240" w:after="240"/>
        <w:ind w:right="1984"/>
      </w:pPr>
      <w:r>
        <w:t>Devant la juridiction suprême, il invoquait l’applicabilité de la convention de Bruxelles de 1952 sur la saisie</w:t>
      </w:r>
      <w:r w:rsidR="00B63D15">
        <w:t xml:space="preserve"> </w:t>
      </w:r>
      <w:r>
        <w:t xml:space="preserve">conservatoire des navires de mer. Il ajoutait </w:t>
      </w:r>
      <w:r>
        <w:lastRenderedPageBreak/>
        <w:t>en outre que l’article L5114-20 du Code des transports empêchait la saisie-attribution d’un navire.</w:t>
      </w:r>
    </w:p>
    <w:p w:rsidR="009E057E" w:rsidRDefault="009E057E" w:rsidP="00BC528B">
      <w:pPr>
        <w:spacing w:before="240" w:after="240"/>
        <w:ind w:right="1984"/>
      </w:pPr>
      <w:r>
        <w:t xml:space="preserve">La Cour de cassation ne fit guère de cas de ces arguments. La Convention de Bruxelles de 1952 </w:t>
      </w:r>
      <w:r w:rsidR="00371952">
        <w:t>autant que l’article L5114-20 du Code des transports ne concernent pas la saisie-attribution. Ladite convention ne concerne que la saisie</w:t>
      </w:r>
      <w:r w:rsidR="00B63D15">
        <w:t xml:space="preserve"> </w:t>
      </w:r>
      <w:r w:rsidR="00371952">
        <w:t>conservatoire, l’article susmentionné concerne la saisie</w:t>
      </w:r>
      <w:r w:rsidR="00B63D15">
        <w:t xml:space="preserve"> </w:t>
      </w:r>
      <w:r w:rsidR="00371952">
        <w:t>conservatoire et la saisie-exécution des navires. Rien n’empêchait donc la cour d’appel de se fonder sur le droit commun des contrats et de l’exécution pour effectuer une saisie-attribution.</w:t>
      </w:r>
    </w:p>
    <w:p w:rsidR="002C57B4" w:rsidRDefault="00371952" w:rsidP="00BC528B">
      <w:pPr>
        <w:pStyle w:val="Titre1"/>
      </w:pPr>
      <w:r>
        <w:t xml:space="preserve">La condition suspensive qui porte </w:t>
      </w:r>
      <w:r w:rsidR="007B7CBF">
        <w:t>sur un élément es</w:t>
      </w:r>
      <w:r w:rsidR="00B63D15">
        <w:t>s</w:t>
      </w:r>
      <w:r w:rsidR="007B7CBF">
        <w:t xml:space="preserve">entiel </w:t>
      </w:r>
      <w:r w:rsidR="00483D54">
        <w:t xml:space="preserve"> de la formation </w:t>
      </w:r>
      <w:r w:rsidR="007B7CBF">
        <w:t>du cont</w:t>
      </w:r>
      <w:r>
        <w:t>r</w:t>
      </w:r>
      <w:r w:rsidR="007B7CBF">
        <w:t>a</w:t>
      </w:r>
      <w:r>
        <w:t>t est réputée non-écrite</w:t>
      </w:r>
    </w:p>
    <w:p w:rsidR="007108F7" w:rsidRDefault="007108F7" w:rsidP="00BC528B">
      <w:pPr>
        <w:spacing w:before="240" w:after="240"/>
        <w:ind w:right="1984"/>
      </w:pPr>
      <w:r>
        <w:t>La Cour de cassation a récemment rendu un arrêt audacieux sur la condition suspensive (</w:t>
      </w:r>
      <w:proofErr w:type="spellStart"/>
      <w:r>
        <w:t>Civ</w:t>
      </w:r>
      <w:proofErr w:type="spellEnd"/>
      <w:r>
        <w:t xml:space="preserve"> 3</w:t>
      </w:r>
      <w:r w:rsidRPr="007108F7">
        <w:rPr>
          <w:vertAlign w:val="superscript"/>
        </w:rPr>
        <w:t>ème</w:t>
      </w:r>
      <w:r>
        <w:t>, 22 octobre 2015 n°14-20.096).</w:t>
      </w:r>
    </w:p>
    <w:p w:rsidR="007108F7" w:rsidRDefault="007108F7" w:rsidP="00BC528B">
      <w:pPr>
        <w:spacing w:before="240" w:after="240"/>
        <w:ind w:right="1984"/>
      </w:pPr>
      <w:r>
        <w:t xml:space="preserve">Deux sociétés avaient conclu un contrat par lequel l’une promettait à l’autre de lui céder son bail commercial. Diverses conditions suspensives étaient prévues dont </w:t>
      </w:r>
      <w:r w:rsidR="00212A4D">
        <w:t>la signature d’un nouveau bail commercial avant une date fixée. Les pourparlers n’avaient pas permis de convenir de ce bail</w:t>
      </w:r>
      <w:r w:rsidR="00C6461E">
        <w:t xml:space="preserve"> à l’échéance fixée</w:t>
      </w:r>
      <w:r w:rsidR="00212A4D">
        <w:t xml:space="preserve">. Si bien que le cessionnaire considérait que le contrat était caduc et refusa de signer l’acte de cession. </w:t>
      </w:r>
    </w:p>
    <w:p w:rsidR="00212A4D" w:rsidRDefault="00212A4D" w:rsidP="00BC528B">
      <w:pPr>
        <w:spacing w:before="240" w:after="240"/>
        <w:ind w:right="1984"/>
      </w:pPr>
      <w:r>
        <w:t>Le cédant essaya de l’y contraindre invoquant l’incohérence du contrat. Le juge d’appel répliqua en opposant la loi des parties et la liberté contractuelle.</w:t>
      </w:r>
      <w:r w:rsidR="00C6461E">
        <w:t xml:space="preserve"> Il refusait donc de se substituer à la volonté des parties même si le contrat comportait une incohérence.</w:t>
      </w:r>
    </w:p>
    <w:p w:rsidR="00212A4D" w:rsidRDefault="00212A4D" w:rsidP="00BC528B">
      <w:pPr>
        <w:spacing w:before="240" w:after="240"/>
        <w:ind w:right="1984"/>
      </w:pPr>
      <w:r>
        <w:t>La Cour de cassation, pour casser l’arrêt d’appel et donner raison au cédant posa une règle curieuse au visa de l’article 1168 du Code civil. Une condition suspensive qui porte sur un élément essentiel à la formation du contrat est réputée non écrite. La Cour ne précise cependant pas ce qu’est un « élément essentiel à la formation du contrat »</w:t>
      </w:r>
      <w:r w:rsidR="00B7592E">
        <w:t xml:space="preserve"> au sens de cette jurisprudence</w:t>
      </w:r>
      <w:r>
        <w:t>.</w:t>
      </w:r>
    </w:p>
    <w:p w:rsidR="00B151DB" w:rsidRDefault="00212A4D" w:rsidP="00B151DB">
      <w:pPr>
        <w:pStyle w:val="Titre1"/>
      </w:pPr>
      <w:r>
        <w:t>Parution du décret portant sur les exceptions aux délais de paiement</w:t>
      </w:r>
    </w:p>
    <w:p w:rsidR="000C2285" w:rsidRDefault="00B7592E" w:rsidP="00BC528B">
      <w:pPr>
        <w:spacing w:before="240" w:after="240"/>
        <w:ind w:right="1984"/>
      </w:pPr>
      <w:r>
        <w:t>L’article L. 441-6 du Code de commerce encadre de façon stricte les délais de paiement dans les rapports entre professionnels. Néanmoins, le décret formulant des exceptions à ces délais était attendu. Il est paru le 16 novembre 2015 et a été codifié à l’article D. 441-5-1 du Code de commerce.</w:t>
      </w:r>
    </w:p>
    <w:p w:rsidR="00B7592E" w:rsidRDefault="00B7592E" w:rsidP="00BC528B">
      <w:pPr>
        <w:spacing w:before="240" w:after="240"/>
        <w:ind w:right="1984"/>
      </w:pPr>
      <w:r>
        <w:lastRenderedPageBreak/>
        <w:t>Il concerne les secteurs de l’agroéquipement, des articles de sport, du cuir, de l’horlogerie bijouterie joaillerie orfèvrerie et des jouets. Les différents délais de paiement y sont précisés.</w:t>
      </w:r>
    </w:p>
    <w:p w:rsidR="00C80678" w:rsidRDefault="00C80678" w:rsidP="00BC528B">
      <w:pPr>
        <w:spacing w:before="240" w:after="240"/>
        <w:ind w:right="1984"/>
        <w:sectPr w:rsidR="00C80678" w:rsidSect="009339A1">
          <w:headerReference w:type="default" r:id="rId8"/>
          <w:footerReference w:type="default" r:id="rId9"/>
          <w:headerReference w:type="first" r:id="rId10"/>
          <w:footerReference w:type="first" r:id="rId11"/>
          <w:pgSz w:w="11906" w:h="16838"/>
          <w:pgMar w:top="1417" w:right="1417" w:bottom="1417" w:left="1417" w:header="708" w:footer="708" w:gutter="0"/>
          <w:pgNumType w:fmt="numberInDash"/>
          <w:cols w:space="708"/>
          <w:titlePg/>
          <w:docGrid w:linePitch="360"/>
        </w:sectPr>
      </w:pPr>
    </w:p>
    <w:p w:rsidR="00B151DB" w:rsidRDefault="00B7592E" w:rsidP="00613043">
      <w:pPr>
        <w:pStyle w:val="Titre1"/>
      </w:pPr>
      <w:r>
        <w:lastRenderedPageBreak/>
        <w:t>Question prioritaire de constitutionnalit</w:t>
      </w:r>
      <w:r w:rsidR="00B63D15">
        <w:t>é</w:t>
      </w:r>
      <w:r>
        <w:t xml:space="preserve"> sur les sanctions en matière concurrentielle</w:t>
      </w:r>
    </w:p>
    <w:p w:rsidR="002C57B4" w:rsidRDefault="002C4052" w:rsidP="00DB1ED5">
      <w:pPr>
        <w:spacing w:before="240" w:after="240"/>
        <w:ind w:right="1984"/>
      </w:pPr>
      <w:r>
        <w:t>Le 7 janvier dernier, le Conseil constitutionnel se prononçait sur la conformité de l’article L464-2 du Code de commerce au bloc de constitutionnalité (QPC n°2015-510)</w:t>
      </w:r>
      <w:r w:rsidR="00F7711B">
        <w:t>.</w:t>
      </w:r>
    </w:p>
    <w:p w:rsidR="002C4052" w:rsidRDefault="002C4052" w:rsidP="00DB1ED5">
      <w:pPr>
        <w:spacing w:before="240" w:after="240"/>
        <w:ind w:right="1984"/>
        <w:rPr>
          <w:rFonts w:eastAsia="Times New Roman" w:cs="Times New Roman"/>
        </w:rPr>
      </w:pPr>
      <w:r>
        <w:t xml:space="preserve">La dernière version de cet article émane de la loi </w:t>
      </w:r>
      <w:proofErr w:type="spellStart"/>
      <w:r>
        <w:t>Macron</w:t>
      </w:r>
      <w:proofErr w:type="spellEnd"/>
      <w:r>
        <w:t xml:space="preserve"> et prévoit de lourdes sanctions en cas de manquement aux règles sur les pratiques restrictives de concurrence. Néanmoins, les </w:t>
      </w:r>
      <w:r w:rsidR="00C6461E">
        <w:t>sanctions</w:t>
      </w:r>
      <w:r>
        <w:t xml:space="preserve"> ne</w:t>
      </w:r>
      <w:r w:rsidR="00570818">
        <w:t xml:space="preserve"> sont pas les mêmes suivant que</w:t>
      </w:r>
      <w:bookmarkStart w:id="0" w:name="_GoBack"/>
      <w:bookmarkEnd w:id="0"/>
      <w:r>
        <w:t xml:space="preserve"> le contrevenant est une entrepris</w:t>
      </w:r>
      <w:r w:rsidR="00C6461E">
        <w:t xml:space="preserve">e ou non. </w:t>
      </w:r>
      <w:r>
        <w:t xml:space="preserve">Dans l’hypothèse négative, la sanction est plafonnée à trois millions d’euros. Dans l’hypothèse positive, elle s’élève à 10% du chiffre d’affaires </w:t>
      </w:r>
      <w:r>
        <w:rPr>
          <w:rFonts w:eastAsia="Times New Roman" w:cs="Times New Roman"/>
        </w:rPr>
        <w:t xml:space="preserve">mondial hors taxes le plus élevé réalisé au cours d'un des exercices clos depuis l'exercice précédant celui au cours duquel les pratiques ont été mises en œuvre. Si les comptes de l'entreprise concernée ont été consolidés ou combinés en vertu des textes applicables à sa forme sociale, le chiffre d'affaires pris en compte est celui figurant dans les comptes consolidés ou combinés de l'entreprise </w:t>
      </w:r>
      <w:proofErr w:type="spellStart"/>
      <w:r>
        <w:rPr>
          <w:rFonts w:eastAsia="Times New Roman" w:cs="Times New Roman"/>
        </w:rPr>
        <w:t>consolidante</w:t>
      </w:r>
      <w:proofErr w:type="spellEnd"/>
      <w:r>
        <w:rPr>
          <w:rFonts w:eastAsia="Times New Roman" w:cs="Times New Roman"/>
        </w:rPr>
        <w:t xml:space="preserve"> ou </w:t>
      </w:r>
      <w:proofErr w:type="spellStart"/>
      <w:r>
        <w:rPr>
          <w:rFonts w:eastAsia="Times New Roman" w:cs="Times New Roman"/>
        </w:rPr>
        <w:t>combinante</w:t>
      </w:r>
      <w:proofErr w:type="spellEnd"/>
      <w:r>
        <w:rPr>
          <w:rFonts w:eastAsia="Times New Roman" w:cs="Times New Roman"/>
        </w:rPr>
        <w:t>.</w:t>
      </w:r>
    </w:p>
    <w:p w:rsidR="002C4052" w:rsidRDefault="002C4052" w:rsidP="00DB1ED5">
      <w:pPr>
        <w:spacing w:before="240" w:after="240"/>
        <w:ind w:right="1984"/>
        <w:rPr>
          <w:rFonts w:eastAsia="Times New Roman" w:cs="Times New Roman"/>
        </w:rPr>
      </w:pPr>
      <w:r>
        <w:rPr>
          <w:rFonts w:eastAsia="Times New Roman" w:cs="Times New Roman"/>
        </w:rPr>
        <w:t>Le requérant y décelait une atteinte au principe d’égalité et au principe de légalité des délits et des peines.</w:t>
      </w:r>
      <w:r w:rsidR="00C6461E">
        <w:rPr>
          <w:rFonts w:eastAsia="Times New Roman" w:cs="Times New Roman"/>
        </w:rPr>
        <w:t xml:space="preserve"> Le Conseil ne reti</w:t>
      </w:r>
      <w:r w:rsidR="00947F28">
        <w:rPr>
          <w:rFonts w:eastAsia="Times New Roman" w:cs="Times New Roman"/>
        </w:rPr>
        <w:t xml:space="preserve">nt pas ces arguments considérant que la distinction selon la nature juridique du contrevenant sert à prendre en compte les facultés pécuniaires de celui-ci. Sur le </w:t>
      </w:r>
      <w:r w:rsidR="00BA1947">
        <w:rPr>
          <w:rFonts w:eastAsia="Times New Roman" w:cs="Times New Roman"/>
        </w:rPr>
        <w:t>fondement de la légali</w:t>
      </w:r>
      <w:r w:rsidR="00C6461E">
        <w:rPr>
          <w:rFonts w:eastAsia="Times New Roman" w:cs="Times New Roman"/>
        </w:rPr>
        <w:t>té des peines, le Conseil ajouta</w:t>
      </w:r>
      <w:r w:rsidR="00BA1947">
        <w:rPr>
          <w:rFonts w:eastAsia="Times New Roman" w:cs="Times New Roman"/>
        </w:rPr>
        <w:t xml:space="preserve"> que la peine peut être déterminée avec un degré de certitude suffisante.</w:t>
      </w:r>
    </w:p>
    <w:p w:rsidR="00BA1947" w:rsidRDefault="00BA1947" w:rsidP="00DB1ED5">
      <w:pPr>
        <w:spacing w:before="240" w:after="240"/>
        <w:ind w:right="1984"/>
        <w:rPr>
          <w:rFonts w:eastAsia="Times New Roman" w:cs="Times New Roman"/>
        </w:rPr>
      </w:pPr>
      <w:r>
        <w:rPr>
          <w:rFonts w:eastAsia="Times New Roman" w:cs="Times New Roman"/>
        </w:rPr>
        <w:t>L’article L. 464-2 du Code de commerce est donc déclaré constitutionnel.</w:t>
      </w:r>
    </w:p>
    <w:p w:rsidR="009A58EF" w:rsidRDefault="009A58EF" w:rsidP="00DB1ED5">
      <w:pPr>
        <w:spacing w:before="240" w:after="240"/>
        <w:ind w:right="1984"/>
        <w:rPr>
          <w:rFonts w:eastAsia="Times New Roman" w:cs="Times New Roman"/>
        </w:rPr>
      </w:pPr>
    </w:p>
    <w:p w:rsidR="009A58EF" w:rsidRDefault="009A58EF" w:rsidP="00DB1ED5">
      <w:pPr>
        <w:spacing w:before="240" w:after="240"/>
        <w:ind w:right="1984"/>
        <w:rPr>
          <w:rFonts w:eastAsia="Times New Roman" w:cs="Times New Roman"/>
        </w:rPr>
      </w:pPr>
    </w:p>
    <w:p w:rsidR="009A58EF" w:rsidRDefault="009A58EF" w:rsidP="00DB1ED5">
      <w:pPr>
        <w:spacing w:before="240" w:after="240"/>
        <w:ind w:right="1984"/>
        <w:rPr>
          <w:rFonts w:eastAsia="Times New Roman" w:cs="Times New Roman"/>
        </w:rPr>
      </w:pPr>
    </w:p>
    <w:p w:rsidR="009A58EF" w:rsidRDefault="009A58EF" w:rsidP="00DB1ED5">
      <w:pPr>
        <w:spacing w:before="240" w:after="240"/>
        <w:ind w:right="1984"/>
        <w:rPr>
          <w:rFonts w:eastAsia="Times New Roman" w:cs="Times New Roman"/>
        </w:rPr>
      </w:pPr>
    </w:p>
    <w:p w:rsidR="009A58EF" w:rsidRDefault="009A58EF" w:rsidP="00DB1ED5">
      <w:pPr>
        <w:spacing w:before="240" w:after="240"/>
        <w:ind w:right="1984"/>
        <w:rPr>
          <w:rFonts w:eastAsia="Times New Roman" w:cs="Times New Roman"/>
        </w:rPr>
      </w:pPr>
    </w:p>
    <w:p w:rsidR="009A58EF" w:rsidRDefault="009A58EF" w:rsidP="00DB1ED5">
      <w:pPr>
        <w:spacing w:before="240" w:after="240"/>
        <w:ind w:right="1984"/>
        <w:rPr>
          <w:rFonts w:eastAsia="Times New Roman" w:cs="Times New Roman"/>
        </w:rPr>
      </w:pPr>
    </w:p>
    <w:p w:rsidR="009A58EF" w:rsidRPr="00EC46A2" w:rsidRDefault="009A58EF" w:rsidP="00DB1ED5">
      <w:pPr>
        <w:spacing w:before="240" w:after="240"/>
        <w:ind w:right="1984"/>
      </w:pPr>
    </w:p>
    <w:sectPr w:rsidR="009A58EF" w:rsidRPr="00EC46A2" w:rsidSect="00BC528B">
      <w:headerReference w:type="default" r:id="rId12"/>
      <w:footerReference w:type="default" r:id="rId13"/>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063" w:rsidRDefault="00F06063" w:rsidP="00D72BF4">
      <w:pPr>
        <w:spacing w:after="0" w:line="240" w:lineRule="auto"/>
      </w:pPr>
      <w:r>
        <w:separator/>
      </w:r>
    </w:p>
  </w:endnote>
  <w:endnote w:type="continuationSeparator" w:id="0">
    <w:p w:rsidR="00F06063" w:rsidRDefault="00F06063" w:rsidP="00D72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inion Pr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8282548"/>
      <w:docPartObj>
        <w:docPartGallery w:val="Page Numbers (Bottom of Page)"/>
        <w:docPartUnique/>
      </w:docPartObj>
    </w:sdtPr>
    <w:sdtEndPr>
      <w:rPr>
        <w:sz w:val="16"/>
        <w:szCs w:val="16"/>
      </w:rPr>
    </w:sdtEndPr>
    <w:sdtContent>
      <w:p w:rsidR="00483D54" w:rsidRPr="00E55EA4" w:rsidRDefault="000C0532" w:rsidP="009339A1">
        <w:pPr>
          <w:pStyle w:val="Pieddepage"/>
          <w:jc w:val="right"/>
          <w:rPr>
            <w:sz w:val="16"/>
            <w:szCs w:val="16"/>
          </w:rPr>
        </w:pPr>
        <w:r w:rsidRPr="00E55EA4">
          <w:rPr>
            <w:sz w:val="16"/>
            <w:szCs w:val="16"/>
          </w:rPr>
          <w:fldChar w:fldCharType="begin"/>
        </w:r>
        <w:r w:rsidR="00483D54" w:rsidRPr="00E55EA4">
          <w:rPr>
            <w:sz w:val="16"/>
            <w:szCs w:val="16"/>
          </w:rPr>
          <w:instrText>PAGE   \* MERGEFORMAT</w:instrText>
        </w:r>
        <w:r w:rsidRPr="00E55EA4">
          <w:rPr>
            <w:sz w:val="16"/>
            <w:szCs w:val="16"/>
          </w:rPr>
          <w:fldChar w:fldCharType="separate"/>
        </w:r>
        <w:r w:rsidR="009A58EF">
          <w:rPr>
            <w:noProof/>
            <w:sz w:val="16"/>
            <w:szCs w:val="16"/>
          </w:rPr>
          <w:t>- 3 -</w:t>
        </w:r>
        <w:r w:rsidRPr="00E55EA4">
          <w:rPr>
            <w:sz w:val="16"/>
            <w:szCs w:val="16"/>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763444"/>
      <w:docPartObj>
        <w:docPartGallery w:val="Page Numbers (Bottom of Page)"/>
        <w:docPartUnique/>
      </w:docPartObj>
    </w:sdtPr>
    <w:sdtEndPr>
      <w:rPr>
        <w:sz w:val="16"/>
        <w:szCs w:val="16"/>
      </w:rPr>
    </w:sdtEndPr>
    <w:sdtContent>
      <w:p w:rsidR="00483D54" w:rsidRPr="00E55EA4" w:rsidRDefault="000C0532" w:rsidP="009339A1">
        <w:pPr>
          <w:pStyle w:val="Pieddepage"/>
          <w:jc w:val="right"/>
          <w:rPr>
            <w:sz w:val="16"/>
            <w:szCs w:val="16"/>
          </w:rPr>
        </w:pPr>
        <w:r w:rsidRPr="00E55EA4">
          <w:rPr>
            <w:sz w:val="16"/>
            <w:szCs w:val="16"/>
          </w:rPr>
          <w:fldChar w:fldCharType="begin"/>
        </w:r>
        <w:r w:rsidR="00483D54" w:rsidRPr="00E55EA4">
          <w:rPr>
            <w:sz w:val="16"/>
            <w:szCs w:val="16"/>
          </w:rPr>
          <w:instrText>PAGE   \* MERGEFORMAT</w:instrText>
        </w:r>
        <w:r w:rsidRPr="00E55EA4">
          <w:rPr>
            <w:sz w:val="16"/>
            <w:szCs w:val="16"/>
          </w:rPr>
          <w:fldChar w:fldCharType="separate"/>
        </w:r>
        <w:r w:rsidR="009A58EF">
          <w:rPr>
            <w:noProof/>
            <w:sz w:val="16"/>
            <w:szCs w:val="16"/>
          </w:rPr>
          <w:t>- 1 -</w:t>
        </w:r>
        <w:r w:rsidRPr="00E55EA4">
          <w:rPr>
            <w:sz w:val="16"/>
            <w:szCs w:val="16"/>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9072"/>
    </w:tblGrid>
    <w:tr w:rsidR="00483D54" w:rsidTr="00295C8E">
      <w:tc>
        <w:tcPr>
          <w:tcW w:w="9072" w:type="dxa"/>
          <w:tcBorders>
            <w:bottom w:val="single" w:sz="12" w:space="0" w:color="595959" w:themeColor="text1" w:themeTint="A6"/>
          </w:tcBorders>
        </w:tcPr>
        <w:p w:rsidR="00483D54" w:rsidRPr="00E91C90" w:rsidRDefault="00483D54" w:rsidP="006F6F4C">
          <w:pPr>
            <w:pStyle w:val="BasicParagraph"/>
            <w:ind w:right="1984"/>
            <w:jc w:val="both"/>
            <w:rPr>
              <w:rFonts w:ascii="Arial" w:hAnsi="Arial" w:cs="Arial"/>
              <w:color w:val="595959" w:themeColor="text1" w:themeTint="A6"/>
              <w:spacing w:val="-1"/>
              <w:sz w:val="14"/>
              <w:szCs w:val="14"/>
              <w:lang w:val="fr-FR"/>
            </w:rPr>
          </w:pPr>
          <w:r w:rsidRPr="00E91C90">
            <w:rPr>
              <w:rFonts w:ascii="Arial" w:hAnsi="Arial" w:cs="Arial"/>
              <w:color w:val="595959" w:themeColor="text1" w:themeTint="A6"/>
              <w:spacing w:val="-1"/>
              <w:sz w:val="14"/>
              <w:szCs w:val="14"/>
              <w:lang w:val="fr-FR"/>
            </w:rPr>
            <w:t xml:space="preserve">Cette lettre d’informations est une publication électronique périodique éditée par DLGA, Société d’avocats (le «Cabinet»), diffusée gratuitement auprès d’un nombre limité de personnes ayant une relation directe ou indirecte avec le Cabinet. Cette lettre d’informations est réservée à l’usage privé de son destinataire et n’a qu’une vocation d’information générale non exhaustive. Elle ne saurait constituer ou être interprétée comme un acte de conseil juridique, un démarchage, une offre de services ou une sollicitation d’offre de ces services. Le destinataire est seul responsable de l’usage qu’il fait des informations fournies dans la lettre d’Informations et le Cabinet ne pourra être tenu responsable envers le destinataire de quelconques dommages directs ou indirects découlant de l’utilisation de ces informations. Pour ne plus recevoir de courriel d’information, veuillez écrire à l’adresse suivante : contact@dlga.fr </w:t>
          </w:r>
        </w:p>
        <w:p w:rsidR="00483D54" w:rsidRDefault="00483D54" w:rsidP="006F6F4C">
          <w:pPr>
            <w:pStyle w:val="Pieddepage"/>
            <w:spacing w:after="240"/>
            <w:ind w:right="1984"/>
          </w:pPr>
          <w:r w:rsidRPr="00E91C90">
            <w:rPr>
              <w:color w:val="595959" w:themeColor="text1" w:themeTint="A6"/>
              <w:spacing w:val="-1"/>
              <w:sz w:val="14"/>
              <w:szCs w:val="14"/>
            </w:rPr>
            <w:t>© DLGA 2015. Tous droits réservés.</w:t>
          </w:r>
        </w:p>
      </w:tc>
    </w:tr>
    <w:tr w:rsidR="00483D54" w:rsidTr="00295C8E">
      <w:tc>
        <w:tcPr>
          <w:tcW w:w="9072" w:type="dxa"/>
          <w:tcBorders>
            <w:top w:val="single" w:sz="12" w:space="0" w:color="595959" w:themeColor="text1" w:themeTint="A6"/>
          </w:tcBorders>
        </w:tcPr>
        <w:p w:rsidR="00483D54" w:rsidRDefault="00483D54" w:rsidP="000C44C6">
          <w:pPr>
            <w:pStyle w:val="BasicParagraph"/>
            <w:tabs>
              <w:tab w:val="left" w:pos="7088"/>
            </w:tabs>
            <w:spacing w:before="240"/>
            <w:ind w:right="1984"/>
            <w:jc w:val="both"/>
            <w:rPr>
              <w:rFonts w:ascii="Arial" w:hAnsi="Arial" w:cs="Arial"/>
              <w:spacing w:val="-1"/>
              <w:sz w:val="16"/>
              <w:szCs w:val="16"/>
              <w:lang w:val="fr-FR"/>
            </w:rPr>
          </w:pPr>
          <w:r w:rsidRPr="00E91C90">
            <w:rPr>
              <w:rFonts w:ascii="Arial" w:hAnsi="Arial" w:cs="Arial"/>
              <w:b/>
              <w:bCs/>
              <w:color w:val="595959" w:themeColor="text1" w:themeTint="A6"/>
              <w:spacing w:val="-1"/>
              <w:sz w:val="16"/>
              <w:szCs w:val="16"/>
              <w:lang w:val="fr-FR"/>
            </w:rPr>
            <w:t>DLGA, Société d’avocats,</w:t>
          </w:r>
          <w:r w:rsidRPr="00E91C90">
            <w:rPr>
              <w:rFonts w:ascii="Arial" w:hAnsi="Arial" w:cs="Arial"/>
              <w:color w:val="595959" w:themeColor="text1" w:themeTint="A6"/>
              <w:spacing w:val="-1"/>
              <w:sz w:val="16"/>
              <w:szCs w:val="16"/>
              <w:lang w:val="fr-FR"/>
            </w:rPr>
            <w:t xml:space="preserve"> </w:t>
          </w:r>
          <w:r>
            <w:rPr>
              <w:rFonts w:ascii="Arial" w:hAnsi="Arial" w:cs="Arial"/>
              <w:spacing w:val="-1"/>
              <w:sz w:val="16"/>
              <w:szCs w:val="16"/>
              <w:lang w:val="fr-FR"/>
            </w:rPr>
            <w:t>inscrite au Barreau de Lille</w:t>
          </w:r>
        </w:p>
        <w:p w:rsidR="00483D54" w:rsidRDefault="00483D54" w:rsidP="006F6F4C">
          <w:pPr>
            <w:pStyle w:val="Pieddepage"/>
            <w:tabs>
              <w:tab w:val="left" w:pos="7088"/>
            </w:tabs>
            <w:ind w:right="1984"/>
          </w:pPr>
          <w:r>
            <w:rPr>
              <w:spacing w:val="-1"/>
              <w:sz w:val="16"/>
              <w:szCs w:val="16"/>
            </w:rPr>
            <w:t>6, rue Léon Trulin – 59800 Lille – France | Tél : +33 (0)3 20 75 87 60 | Fax : +33 (0)3 66 72 22 63</w:t>
          </w:r>
        </w:p>
      </w:tc>
    </w:tr>
    <w:tr w:rsidR="00483D54" w:rsidTr="00295C8E">
      <w:tc>
        <w:tcPr>
          <w:tcW w:w="9072" w:type="dxa"/>
        </w:tcPr>
        <w:p w:rsidR="00483D54" w:rsidRDefault="00483D54" w:rsidP="006F6F4C">
          <w:pPr>
            <w:pStyle w:val="BasicParagraph"/>
            <w:tabs>
              <w:tab w:val="left" w:pos="7088"/>
            </w:tabs>
            <w:spacing w:before="240"/>
            <w:ind w:right="1984"/>
            <w:jc w:val="both"/>
            <w:rPr>
              <w:rFonts w:ascii="Arial" w:hAnsi="Arial" w:cs="Arial"/>
              <w:spacing w:val="-1"/>
              <w:sz w:val="16"/>
              <w:szCs w:val="16"/>
              <w:lang w:val="fr-FR"/>
            </w:rPr>
          </w:pPr>
          <w:r w:rsidRPr="00E91C90">
            <w:rPr>
              <w:rFonts w:ascii="Arial" w:hAnsi="Arial" w:cs="Arial"/>
              <w:b/>
              <w:bCs/>
              <w:color w:val="595959" w:themeColor="text1" w:themeTint="A6"/>
              <w:spacing w:val="-1"/>
              <w:sz w:val="16"/>
              <w:szCs w:val="16"/>
              <w:lang w:val="fr-FR"/>
            </w:rPr>
            <w:t xml:space="preserve">DLGA, Société d’avocats, </w:t>
          </w:r>
          <w:r>
            <w:rPr>
              <w:rFonts w:ascii="Arial" w:hAnsi="Arial" w:cs="Arial"/>
              <w:spacing w:val="-1"/>
              <w:sz w:val="16"/>
              <w:szCs w:val="16"/>
              <w:lang w:val="fr-FR"/>
            </w:rPr>
            <w:t>bureau secondaire inscrit au Barreau de Paris</w:t>
          </w:r>
        </w:p>
        <w:p w:rsidR="00483D54" w:rsidRDefault="00483D54" w:rsidP="006F6F4C">
          <w:pPr>
            <w:pStyle w:val="Pieddepage"/>
            <w:tabs>
              <w:tab w:val="left" w:pos="7088"/>
            </w:tabs>
            <w:ind w:right="1984"/>
          </w:pPr>
          <w:r>
            <w:rPr>
              <w:spacing w:val="-1"/>
              <w:sz w:val="16"/>
              <w:szCs w:val="16"/>
            </w:rPr>
            <w:t>59, rue de Babylone – 75007 Paris – France | Tél : +33 (0) 1 45 55 65 20</w:t>
          </w:r>
        </w:p>
      </w:tc>
    </w:tr>
  </w:tbl>
  <w:p w:rsidR="00483D54" w:rsidRPr="00E55EA4" w:rsidRDefault="00483D54" w:rsidP="009339A1">
    <w:pPr>
      <w:pStyle w:val="Pieddepage"/>
      <w:jc w:val="right"/>
      <w:rPr>
        <w:sz w:val="16"/>
        <w:szCs w:val="16"/>
      </w:rPr>
    </w:pPr>
    <w:r w:rsidRPr="00E55EA4">
      <w:rPr>
        <w:sz w:val="16"/>
        <w:szCs w:val="16"/>
      </w:rPr>
      <w:t xml:space="preserve">- </w:t>
    </w:r>
    <w:r>
      <w:rPr>
        <w:sz w:val="16"/>
        <w:szCs w:val="16"/>
      </w:rPr>
      <w:t>4</w:t>
    </w:r>
    <w:r w:rsidRPr="00E55EA4">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063" w:rsidRDefault="00F06063" w:rsidP="00D72BF4">
      <w:pPr>
        <w:spacing w:after="0" w:line="240" w:lineRule="auto"/>
      </w:pPr>
      <w:r>
        <w:separator/>
      </w:r>
    </w:p>
  </w:footnote>
  <w:footnote w:type="continuationSeparator" w:id="0">
    <w:p w:rsidR="00F06063" w:rsidRDefault="00F06063" w:rsidP="00D72B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D54" w:rsidRDefault="00483D54">
    <w:pPr>
      <w:pStyle w:val="En-tte"/>
    </w:pPr>
    <w:r>
      <w:rPr>
        <w:noProof/>
        <w:lang w:eastAsia="fr-FR"/>
      </w:rPr>
      <w:drawing>
        <wp:anchor distT="0" distB="0" distL="114300" distR="114300" simplePos="0" relativeHeight="251659264" behindDoc="0" locked="0" layoutInCell="1" allowOverlap="1">
          <wp:simplePos x="0" y="0"/>
          <wp:positionH relativeFrom="margin">
            <wp:align>left</wp:align>
          </wp:positionH>
          <wp:positionV relativeFrom="paragraph">
            <wp:posOffset>4652</wp:posOffset>
          </wp:positionV>
          <wp:extent cx="971550" cy="971550"/>
          <wp:effectExtent l="0" t="0" r="0" b="0"/>
          <wp:wrapThrough wrapText="bothSides">
            <wp:wrapPolygon edited="0">
              <wp:start x="0" y="0"/>
              <wp:lineTo x="0" y="21176"/>
              <wp:lineTo x="21176" y="21176"/>
              <wp:lineTo x="21176" y="0"/>
              <wp:lineTo x="0" y="0"/>
            </wp:wrapPolygon>
          </wp:wrapThrough>
          <wp:docPr id="23" name="Image 23" descr="\\IX2-200-TI84CS\Documents\MDU\Newsletters ENR\2015 10\Support pdf DLGA-Newsletter ENR 23102015\LOGO DLGA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X2-200-TI84CS\Documents\MDU\Newsletters ENR\2015 10\Support pdf DLGA-Newsletter ENR 23102015\LOGO DLGA [B].jp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anchor>
      </w:drawing>
    </w:r>
  </w:p>
  <w:p w:rsidR="00483D54" w:rsidRDefault="00483D54">
    <w:pPr>
      <w:pStyle w:val="En-tte"/>
    </w:pPr>
  </w:p>
  <w:p w:rsidR="00483D54" w:rsidRDefault="00483D54">
    <w:pPr>
      <w:pStyle w:val="En-tte"/>
    </w:pPr>
  </w:p>
  <w:p w:rsidR="00483D54" w:rsidRDefault="00483D54">
    <w:pPr>
      <w:pStyle w:val="En-tte"/>
    </w:pPr>
  </w:p>
  <w:p w:rsidR="00483D54" w:rsidRDefault="00483D54">
    <w:pPr>
      <w:pStyle w:val="En-tte"/>
    </w:pPr>
  </w:p>
  <w:p w:rsidR="00483D54" w:rsidRDefault="00483D54">
    <w:pPr>
      <w:pStyle w:val="En-tte"/>
    </w:pPr>
  </w:p>
  <w:p w:rsidR="00483D54" w:rsidRDefault="00483D54">
    <w:pPr>
      <w:pStyle w:val="En-tte"/>
    </w:pPr>
  </w:p>
  <w:p w:rsidR="00483D54" w:rsidRDefault="00483D54" w:rsidP="004B64EC">
    <w:pPr>
      <w:pStyle w:val="En-tte"/>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483D54" w:rsidTr="008101E5">
      <w:trPr>
        <w:jc w:val="center"/>
      </w:trPr>
      <w:tc>
        <w:tcPr>
          <w:tcW w:w="4531" w:type="dxa"/>
          <w:tcBorders>
            <w:bottom w:val="single" w:sz="12" w:space="0" w:color="595959" w:themeColor="text1" w:themeTint="A6"/>
          </w:tcBorders>
        </w:tcPr>
        <w:p w:rsidR="00483D54" w:rsidRPr="00F61DEE" w:rsidRDefault="00483D54" w:rsidP="00D72BF4">
          <w:pPr>
            <w:rPr>
              <w:b/>
              <w:color w:val="595959" w:themeColor="text1" w:themeTint="A6"/>
            </w:rPr>
          </w:pPr>
          <w:r>
            <w:rPr>
              <w:b/>
              <w:color w:val="595959" w:themeColor="text1" w:themeTint="A6"/>
            </w:rPr>
            <w:t>CONTRATS - AFFAIRES</w:t>
          </w:r>
          <w:r w:rsidRPr="00F61DEE">
            <w:rPr>
              <w:b/>
              <w:color w:val="595959" w:themeColor="text1" w:themeTint="A6"/>
            </w:rPr>
            <w:t xml:space="preserve"> | DLGA</w:t>
          </w:r>
        </w:p>
      </w:tc>
      <w:tc>
        <w:tcPr>
          <w:tcW w:w="4531" w:type="dxa"/>
          <w:tcBorders>
            <w:bottom w:val="single" w:sz="12" w:space="0" w:color="595959" w:themeColor="text1" w:themeTint="A6"/>
          </w:tcBorders>
        </w:tcPr>
        <w:p w:rsidR="00483D54" w:rsidRPr="00F61DEE" w:rsidRDefault="00483D54" w:rsidP="00D72BF4">
          <w:pPr>
            <w:spacing w:after="0"/>
            <w:jc w:val="right"/>
            <w:rPr>
              <w:b/>
              <w:color w:val="595959" w:themeColor="text1" w:themeTint="A6"/>
            </w:rPr>
          </w:pPr>
          <w:r>
            <w:rPr>
              <w:b/>
              <w:color w:val="595959" w:themeColor="text1" w:themeTint="A6"/>
            </w:rPr>
            <w:t>JANVIER 2016</w:t>
          </w:r>
        </w:p>
      </w:tc>
    </w:tr>
  </w:tbl>
  <w:p w:rsidR="00483D54" w:rsidRDefault="00483D54" w:rsidP="00D72BF4">
    <w:pPr>
      <w:pStyle w:val="En-tte"/>
      <w:spacing w:befor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D54" w:rsidRDefault="00483D54" w:rsidP="00654C12">
    <w:r>
      <w:rPr>
        <w:noProof/>
        <w:lang w:eastAsia="fr-FR"/>
      </w:rPr>
      <w:drawing>
        <wp:anchor distT="0" distB="0" distL="114300" distR="114300" simplePos="0" relativeHeight="251658239" behindDoc="1" locked="0" layoutInCell="1" allowOverlap="1">
          <wp:simplePos x="0" y="0"/>
          <wp:positionH relativeFrom="margin">
            <wp:posOffset>-394970</wp:posOffset>
          </wp:positionH>
          <wp:positionV relativeFrom="paragraph">
            <wp:posOffset>1052830</wp:posOffset>
          </wp:positionV>
          <wp:extent cx="6134100" cy="1115060"/>
          <wp:effectExtent l="19050" t="0" r="0" b="0"/>
          <wp:wrapThrough wrapText="bothSides">
            <wp:wrapPolygon edited="0">
              <wp:start x="-67" y="0"/>
              <wp:lineTo x="-67" y="21403"/>
              <wp:lineTo x="21600" y="21403"/>
              <wp:lineTo x="21600" y="0"/>
              <wp:lineTo x="-67" y="0"/>
            </wp:wrapPolygon>
          </wp:wrapThrough>
          <wp:docPr id="24" name="Image 24" descr="\\IX2-200-TI84CS\Documents\MDU\Newsletters ENR\2015 11\Support\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X2-200-TI84CS\Documents\MDU\Newsletters ENR\2015 11\Support\header.pn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34100" cy="1115060"/>
                  </a:xfrm>
                  <a:prstGeom prst="rect">
                    <a:avLst/>
                  </a:prstGeom>
                  <a:noFill/>
                  <a:ln>
                    <a:noFill/>
                  </a:ln>
                </pic:spPr>
              </pic:pic>
            </a:graphicData>
          </a:graphic>
        </wp:anchor>
      </w:drawing>
    </w:r>
    <w:r>
      <w:rPr>
        <w:noProof/>
        <w:lang w:eastAsia="fr-FR"/>
      </w:rPr>
      <w:drawing>
        <wp:anchor distT="0" distB="0" distL="114300" distR="114300" simplePos="0" relativeHeight="251661312" behindDoc="0" locked="0" layoutInCell="1" allowOverlap="1">
          <wp:simplePos x="0" y="0"/>
          <wp:positionH relativeFrom="column">
            <wp:posOffset>-4445</wp:posOffset>
          </wp:positionH>
          <wp:positionV relativeFrom="paragraph">
            <wp:posOffset>0</wp:posOffset>
          </wp:positionV>
          <wp:extent cx="971550" cy="971550"/>
          <wp:effectExtent l="0" t="0" r="0" b="0"/>
          <wp:wrapThrough wrapText="bothSides">
            <wp:wrapPolygon edited="0">
              <wp:start x="0" y="0"/>
              <wp:lineTo x="0" y="21176"/>
              <wp:lineTo x="21176" y="21176"/>
              <wp:lineTo x="21176" y="0"/>
              <wp:lineTo x="0" y="0"/>
            </wp:wrapPolygon>
          </wp:wrapThrough>
          <wp:docPr id="25" name="Image 25" descr="\\IX2-200-TI84CS\Documents\MDU\Newsletters ENR\2015 10\Support pdf DLGA-Newsletter ENR 23102015\LOGO DLGA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X2-200-TI84CS\Documents\MDU\Newsletters ENR\2015 10\Support pdf DLGA-Newsletter ENR 23102015\LOGO DLGA [B].jpg"/>
                  <pic:cNvPicPr>
                    <a:picLocks noChangeAspect="1" noChangeArrowheads="1"/>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anchor>
      </w:drawing>
    </w:r>
  </w:p>
  <w:p w:rsidR="00483D54" w:rsidRPr="00F61DEE" w:rsidRDefault="00483D54" w:rsidP="00654C12"/>
  <w:p w:rsidR="00483D54" w:rsidRDefault="00483D54" w:rsidP="00654C12"/>
  <w:p w:rsidR="00483D54" w:rsidRPr="00F61DEE" w:rsidRDefault="00483D54" w:rsidP="00654C12"/>
  <w:p w:rsidR="00483D54" w:rsidRDefault="00483D54" w:rsidP="00654C12">
    <w:pPr>
      <w:pStyle w:val="En-tte"/>
      <w:spacing w:before="2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D54" w:rsidRDefault="00483D54">
    <w:pPr>
      <w:pStyle w:val="En-tte"/>
    </w:pPr>
    <w:r>
      <w:rPr>
        <w:noProof/>
        <w:lang w:eastAsia="fr-FR"/>
      </w:rPr>
      <w:drawing>
        <wp:anchor distT="0" distB="0" distL="114300" distR="114300" simplePos="0" relativeHeight="251663360" behindDoc="0" locked="0" layoutInCell="1" allowOverlap="1">
          <wp:simplePos x="0" y="0"/>
          <wp:positionH relativeFrom="margin">
            <wp:align>left</wp:align>
          </wp:positionH>
          <wp:positionV relativeFrom="paragraph">
            <wp:posOffset>4652</wp:posOffset>
          </wp:positionV>
          <wp:extent cx="971550" cy="971550"/>
          <wp:effectExtent l="0" t="0" r="0" b="0"/>
          <wp:wrapThrough wrapText="bothSides">
            <wp:wrapPolygon edited="0">
              <wp:start x="0" y="0"/>
              <wp:lineTo x="0" y="21176"/>
              <wp:lineTo x="21176" y="21176"/>
              <wp:lineTo x="21176" y="0"/>
              <wp:lineTo x="0" y="0"/>
            </wp:wrapPolygon>
          </wp:wrapThrough>
          <wp:docPr id="3" name="Image 23" descr="\\IX2-200-TI84CS\Documents\MDU\Newsletters ENR\2015 10\Support pdf DLGA-Newsletter ENR 23102015\LOGO DLGA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X2-200-TI84CS\Documents\MDU\Newsletters ENR\2015 10\Support pdf DLGA-Newsletter ENR 23102015\LOGO DLGA [B].jp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anchor>
      </w:drawing>
    </w:r>
  </w:p>
  <w:p w:rsidR="00483D54" w:rsidRDefault="00483D54">
    <w:pPr>
      <w:pStyle w:val="En-tte"/>
    </w:pPr>
  </w:p>
  <w:p w:rsidR="00483D54" w:rsidRDefault="00483D54">
    <w:pPr>
      <w:pStyle w:val="En-tte"/>
    </w:pPr>
  </w:p>
  <w:p w:rsidR="00483D54" w:rsidRDefault="00483D54">
    <w:pPr>
      <w:pStyle w:val="En-tte"/>
    </w:pPr>
  </w:p>
  <w:p w:rsidR="00483D54" w:rsidRDefault="00483D54">
    <w:pPr>
      <w:pStyle w:val="En-tte"/>
    </w:pPr>
  </w:p>
  <w:p w:rsidR="00483D54" w:rsidRDefault="00483D54">
    <w:pPr>
      <w:pStyle w:val="En-tte"/>
    </w:pPr>
  </w:p>
  <w:p w:rsidR="00483D54" w:rsidRDefault="00483D54">
    <w:pPr>
      <w:pStyle w:val="En-tte"/>
    </w:pPr>
  </w:p>
  <w:p w:rsidR="00483D54" w:rsidRDefault="00483D54" w:rsidP="004B64EC">
    <w:pPr>
      <w:pStyle w:val="En-tte"/>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483D54" w:rsidTr="008101E5">
      <w:trPr>
        <w:jc w:val="center"/>
      </w:trPr>
      <w:tc>
        <w:tcPr>
          <w:tcW w:w="4531" w:type="dxa"/>
          <w:tcBorders>
            <w:bottom w:val="single" w:sz="12" w:space="0" w:color="595959" w:themeColor="text1" w:themeTint="A6"/>
          </w:tcBorders>
        </w:tcPr>
        <w:p w:rsidR="00483D54" w:rsidRPr="00F61DEE" w:rsidRDefault="00483D54" w:rsidP="00D72BF4">
          <w:pPr>
            <w:rPr>
              <w:b/>
              <w:color w:val="595959" w:themeColor="text1" w:themeTint="A6"/>
            </w:rPr>
          </w:pPr>
          <w:r>
            <w:rPr>
              <w:b/>
              <w:color w:val="595959" w:themeColor="text1" w:themeTint="A6"/>
            </w:rPr>
            <w:t>CONTRATS - AFFAIRES</w:t>
          </w:r>
          <w:r w:rsidRPr="00F61DEE">
            <w:rPr>
              <w:b/>
              <w:color w:val="595959" w:themeColor="text1" w:themeTint="A6"/>
            </w:rPr>
            <w:t xml:space="preserve"> | DLGA</w:t>
          </w:r>
        </w:p>
      </w:tc>
      <w:tc>
        <w:tcPr>
          <w:tcW w:w="4531" w:type="dxa"/>
          <w:tcBorders>
            <w:bottom w:val="single" w:sz="12" w:space="0" w:color="595959" w:themeColor="text1" w:themeTint="A6"/>
          </w:tcBorders>
        </w:tcPr>
        <w:p w:rsidR="00483D54" w:rsidRPr="00F61DEE" w:rsidRDefault="00483D54" w:rsidP="00B7592E">
          <w:pPr>
            <w:spacing w:after="0"/>
            <w:jc w:val="right"/>
            <w:rPr>
              <w:b/>
              <w:color w:val="595959" w:themeColor="text1" w:themeTint="A6"/>
            </w:rPr>
          </w:pPr>
          <w:r>
            <w:rPr>
              <w:b/>
              <w:color w:val="595959" w:themeColor="text1" w:themeTint="A6"/>
            </w:rPr>
            <w:t>JANVIER</w:t>
          </w:r>
          <w:r w:rsidRPr="00F61DEE">
            <w:rPr>
              <w:b/>
              <w:color w:val="595959" w:themeColor="text1" w:themeTint="A6"/>
            </w:rPr>
            <w:t xml:space="preserve"> 201</w:t>
          </w:r>
          <w:r>
            <w:rPr>
              <w:b/>
              <w:color w:val="595959" w:themeColor="text1" w:themeTint="A6"/>
            </w:rPr>
            <w:t>6</w:t>
          </w:r>
        </w:p>
      </w:tc>
    </w:tr>
  </w:tbl>
  <w:p w:rsidR="00483D54" w:rsidRDefault="00483D54" w:rsidP="00D72BF4">
    <w:pPr>
      <w:pStyle w:val="En-tte"/>
      <w:spacing w:befor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3915"/>
    <w:multiLevelType w:val="multilevel"/>
    <w:tmpl w:val="2B664D80"/>
    <w:lvl w:ilvl="0">
      <w:start w:val="1"/>
      <w:numFmt w:val="decimal"/>
      <w:pStyle w:val="Titre1"/>
      <w:lvlText w:val="%1."/>
      <w:lvlJc w:val="left"/>
      <w:pPr>
        <w:ind w:left="720" w:hanging="360"/>
      </w:pPr>
    </w:lvl>
    <w:lvl w:ilvl="1">
      <w:start w:val="1"/>
      <w:numFmt w:val="decimal"/>
      <w:pStyle w:val="Titre2"/>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36465715"/>
    <w:multiLevelType w:val="multilevel"/>
    <w:tmpl w:val="A1E2ECCC"/>
    <w:lvl w:ilvl="0">
      <w:start w:val="1"/>
      <w:numFmt w:val="decimal"/>
      <w:lvlText w:val="%1."/>
      <w:lvlJc w:val="left"/>
      <w:pPr>
        <w:tabs>
          <w:tab w:val="num" w:pos="709"/>
        </w:tabs>
        <w:ind w:left="709" w:hanging="709"/>
      </w:pPr>
      <w:rPr>
        <w:rFonts w:ascii="Arial" w:hAnsi="Arial" w:hint="default"/>
        <w:b w:val="0"/>
        <w:i w:val="0"/>
      </w:rPr>
    </w:lvl>
    <w:lvl w:ilvl="1">
      <w:start w:val="1"/>
      <w:numFmt w:val="decimal"/>
      <w:isLgl/>
      <w:lvlText w:val="%1.%2"/>
      <w:lvlJc w:val="left"/>
      <w:pPr>
        <w:tabs>
          <w:tab w:val="num" w:pos="709"/>
        </w:tabs>
        <w:ind w:left="709" w:hanging="709"/>
      </w:pPr>
      <w:rPr>
        <w:rFonts w:ascii="Arial" w:hAnsi="Arial" w:hint="default"/>
        <w:b w:val="0"/>
        <w:i w:val="0"/>
      </w:rPr>
    </w:lvl>
    <w:lvl w:ilvl="2">
      <w:start w:val="1"/>
      <w:numFmt w:val="lowerLetter"/>
      <w:pStyle w:val="Style1"/>
      <w:lvlText w:val="(%3)"/>
      <w:lvlJc w:val="left"/>
      <w:pPr>
        <w:tabs>
          <w:tab w:val="num" w:pos="1417"/>
        </w:tabs>
        <w:ind w:left="1417" w:hanging="708"/>
      </w:pPr>
      <w:rPr>
        <w:rFonts w:ascii="Arial" w:hAnsi="Arial" w:hint="default"/>
        <w:b w:val="0"/>
        <w:i w:val="0"/>
      </w:rPr>
    </w:lvl>
    <w:lvl w:ilvl="3">
      <w:start w:val="1"/>
      <w:numFmt w:val="lowerRoman"/>
      <w:lvlText w:val="(%4)"/>
      <w:lvlJc w:val="left"/>
      <w:pPr>
        <w:tabs>
          <w:tab w:val="num" w:pos="2126"/>
        </w:tabs>
        <w:ind w:left="2126" w:hanging="709"/>
      </w:pPr>
      <w:rPr>
        <w:rFonts w:ascii="Arial" w:hAnsi="Arial" w:hint="default"/>
        <w:b w:val="0"/>
        <w:i w:val="0"/>
      </w:rPr>
    </w:lvl>
    <w:lvl w:ilvl="4">
      <w:start w:val="1"/>
      <w:numFmt w:val="decimal"/>
      <w:lvlText w:val="(%5)"/>
      <w:lvlJc w:val="left"/>
      <w:pPr>
        <w:tabs>
          <w:tab w:val="num" w:pos="2835"/>
        </w:tabs>
        <w:ind w:left="2835" w:hanging="709"/>
      </w:pPr>
      <w:rPr>
        <w:rFonts w:ascii="Arial" w:hAnsi="Arial"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37F32454"/>
    <w:multiLevelType w:val="hybridMultilevel"/>
    <w:tmpl w:val="D3D632CC"/>
    <w:lvl w:ilvl="0" w:tplc="432C6406">
      <w:numFmt w:val="bullet"/>
      <w:pStyle w:val="Titre6"/>
      <w:lvlText w:val="-"/>
      <w:lvlJc w:val="left"/>
      <w:pPr>
        <w:ind w:left="720" w:hanging="360"/>
      </w:pPr>
      <w:rPr>
        <w:rFonts w:ascii="Arial" w:eastAsia="Verdan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D5201AB"/>
    <w:multiLevelType w:val="hybridMultilevel"/>
    <w:tmpl w:val="A6741864"/>
    <w:lvl w:ilvl="0" w:tplc="148238A2">
      <w:start w:val="1"/>
      <w:numFmt w:val="bullet"/>
      <w:pStyle w:val="Titre7"/>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
    <w:nsid w:val="5D537EC1"/>
    <w:multiLevelType w:val="hybridMultilevel"/>
    <w:tmpl w:val="76146FD6"/>
    <w:lvl w:ilvl="0" w:tplc="FAFA0CC6">
      <w:start w:val="2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3931350"/>
    <w:multiLevelType w:val="multilevel"/>
    <w:tmpl w:val="D65C3776"/>
    <w:lvl w:ilvl="0">
      <w:start w:val="1"/>
      <w:numFmt w:val="decimal"/>
      <w:lvlText w:val="%1."/>
      <w:lvlJc w:val="left"/>
      <w:pPr>
        <w:tabs>
          <w:tab w:val="num" w:pos="709"/>
        </w:tabs>
        <w:ind w:left="709" w:hanging="709"/>
      </w:pPr>
      <w:rPr>
        <w:rFonts w:ascii="Arial" w:hAnsi="Arial" w:hint="default"/>
        <w:b w:val="0"/>
        <w:i w:val="0"/>
      </w:rPr>
    </w:lvl>
    <w:lvl w:ilvl="1">
      <w:start w:val="1"/>
      <w:numFmt w:val="decimal"/>
      <w:isLgl/>
      <w:lvlText w:val="%1.%2"/>
      <w:lvlJc w:val="left"/>
      <w:pPr>
        <w:tabs>
          <w:tab w:val="num" w:pos="709"/>
        </w:tabs>
        <w:ind w:left="709" w:hanging="709"/>
      </w:pPr>
      <w:rPr>
        <w:rFonts w:ascii="Arial" w:hAnsi="Arial" w:hint="default"/>
        <w:b w:val="0"/>
        <w:i w:val="0"/>
      </w:rPr>
    </w:lvl>
    <w:lvl w:ilvl="2">
      <w:start w:val="1"/>
      <w:numFmt w:val="lowerLetter"/>
      <w:pStyle w:val="Titre3"/>
      <w:lvlText w:val="(%3)"/>
      <w:lvlJc w:val="left"/>
      <w:pPr>
        <w:tabs>
          <w:tab w:val="num" w:pos="1417"/>
        </w:tabs>
        <w:ind w:left="1417" w:hanging="708"/>
      </w:pPr>
      <w:rPr>
        <w:rFonts w:ascii="Arial" w:hAnsi="Arial" w:hint="default"/>
        <w:b w:val="0"/>
        <w:i w:val="0"/>
      </w:rPr>
    </w:lvl>
    <w:lvl w:ilvl="3">
      <w:start w:val="1"/>
      <w:numFmt w:val="lowerRoman"/>
      <w:pStyle w:val="Titre4"/>
      <w:lvlText w:val="(%4)"/>
      <w:lvlJc w:val="left"/>
      <w:pPr>
        <w:tabs>
          <w:tab w:val="num" w:pos="2126"/>
        </w:tabs>
        <w:ind w:left="2126" w:hanging="709"/>
      </w:pPr>
      <w:rPr>
        <w:rFonts w:ascii="Arial" w:hAnsi="Arial" w:hint="default"/>
        <w:b w:val="0"/>
        <w:i w:val="0"/>
      </w:rPr>
    </w:lvl>
    <w:lvl w:ilvl="4">
      <w:start w:val="1"/>
      <w:numFmt w:val="decimal"/>
      <w:lvlText w:val="(%5)"/>
      <w:lvlJc w:val="left"/>
      <w:pPr>
        <w:tabs>
          <w:tab w:val="num" w:pos="2835"/>
        </w:tabs>
        <w:ind w:left="2835" w:hanging="709"/>
      </w:pPr>
      <w:rPr>
        <w:rFonts w:ascii="Arial" w:hAnsi="Arial"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76B6764C"/>
    <w:multiLevelType w:val="multilevel"/>
    <w:tmpl w:val="E86CF6E2"/>
    <w:lvl w:ilvl="0">
      <w:start w:val="1"/>
      <w:numFmt w:val="decimal"/>
      <w:lvlText w:val="%1."/>
      <w:lvlJc w:val="left"/>
      <w:pPr>
        <w:tabs>
          <w:tab w:val="num" w:pos="709"/>
        </w:tabs>
        <w:ind w:left="709" w:hanging="709"/>
      </w:pPr>
      <w:rPr>
        <w:rFonts w:ascii="Arial" w:hAnsi="Arial" w:cs="Arial" w:hint="default"/>
        <w:b/>
      </w:rPr>
    </w:lvl>
    <w:lvl w:ilvl="1">
      <w:start w:val="1"/>
      <w:numFmt w:val="decimal"/>
      <w:isLgl/>
      <w:lvlText w:val="%1.%2"/>
      <w:lvlJc w:val="left"/>
      <w:pPr>
        <w:tabs>
          <w:tab w:val="num" w:pos="1134"/>
        </w:tabs>
        <w:ind w:left="1134" w:hanging="709"/>
      </w:pPr>
      <w:rPr>
        <w:rFonts w:ascii="Arial" w:hAnsi="Arial" w:cs="Arial" w:hint="default"/>
        <w:b/>
        <w:i w:val="0"/>
      </w:rPr>
    </w:lvl>
    <w:lvl w:ilvl="2">
      <w:start w:val="1"/>
      <w:numFmt w:val="bullet"/>
      <w:lvlText w:val="-"/>
      <w:lvlJc w:val="left"/>
      <w:pPr>
        <w:tabs>
          <w:tab w:val="num" w:pos="1417"/>
        </w:tabs>
        <w:ind w:left="1417" w:hanging="708"/>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5"/>
  </w:num>
  <w:num w:numId="3">
    <w:abstractNumId w:val="2"/>
  </w:num>
  <w:num w:numId="4">
    <w:abstractNumId w:val="1"/>
  </w:num>
  <w:num w:numId="5">
    <w:abstractNumId w:val="3"/>
  </w:num>
  <w:num w:numId="6">
    <w:abstractNumId w:val="6"/>
  </w:num>
  <w:num w:numId="7">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1"/>
  <w:stylePaneSortMethod w:val="0000"/>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95577C"/>
    <w:rsid w:val="00035B34"/>
    <w:rsid w:val="000374A9"/>
    <w:rsid w:val="000618A1"/>
    <w:rsid w:val="0008754A"/>
    <w:rsid w:val="000B0F3B"/>
    <w:rsid w:val="000C0532"/>
    <w:rsid w:val="000C1727"/>
    <w:rsid w:val="000C2285"/>
    <w:rsid w:val="000C44C6"/>
    <w:rsid w:val="00121291"/>
    <w:rsid w:val="0013601A"/>
    <w:rsid w:val="001505A9"/>
    <w:rsid w:val="00183341"/>
    <w:rsid w:val="00195D9B"/>
    <w:rsid w:val="001A1969"/>
    <w:rsid w:val="001D1FA5"/>
    <w:rsid w:val="001D2E56"/>
    <w:rsid w:val="001D6A48"/>
    <w:rsid w:val="00212A4D"/>
    <w:rsid w:val="00240C59"/>
    <w:rsid w:val="002575D1"/>
    <w:rsid w:val="00265954"/>
    <w:rsid w:val="002819EB"/>
    <w:rsid w:val="00286BC4"/>
    <w:rsid w:val="00295C8E"/>
    <w:rsid w:val="002C4052"/>
    <w:rsid w:val="002C57B4"/>
    <w:rsid w:val="00302DDE"/>
    <w:rsid w:val="00314CFF"/>
    <w:rsid w:val="00337CE5"/>
    <w:rsid w:val="00371952"/>
    <w:rsid w:val="003E5D2E"/>
    <w:rsid w:val="003F037A"/>
    <w:rsid w:val="0042761F"/>
    <w:rsid w:val="004777BE"/>
    <w:rsid w:val="00483D54"/>
    <w:rsid w:val="004B08EA"/>
    <w:rsid w:val="004B64EC"/>
    <w:rsid w:val="00514E02"/>
    <w:rsid w:val="00570818"/>
    <w:rsid w:val="005729BB"/>
    <w:rsid w:val="005D37E8"/>
    <w:rsid w:val="005D555D"/>
    <w:rsid w:val="00613043"/>
    <w:rsid w:val="00654C12"/>
    <w:rsid w:val="006B710A"/>
    <w:rsid w:val="006C064A"/>
    <w:rsid w:val="006D6B9B"/>
    <w:rsid w:val="006E61D7"/>
    <w:rsid w:val="006E7C3C"/>
    <w:rsid w:val="006F6F4C"/>
    <w:rsid w:val="007108F7"/>
    <w:rsid w:val="0072108B"/>
    <w:rsid w:val="007A62CC"/>
    <w:rsid w:val="007A6CD8"/>
    <w:rsid w:val="007B7CBF"/>
    <w:rsid w:val="007D5170"/>
    <w:rsid w:val="007F0806"/>
    <w:rsid w:val="008101E5"/>
    <w:rsid w:val="00820AED"/>
    <w:rsid w:val="00892304"/>
    <w:rsid w:val="008E2C54"/>
    <w:rsid w:val="008E4EA3"/>
    <w:rsid w:val="008F12D8"/>
    <w:rsid w:val="009339A1"/>
    <w:rsid w:val="00947F28"/>
    <w:rsid w:val="0095577C"/>
    <w:rsid w:val="00956C00"/>
    <w:rsid w:val="009A114C"/>
    <w:rsid w:val="009A58EF"/>
    <w:rsid w:val="009E057E"/>
    <w:rsid w:val="00A42D07"/>
    <w:rsid w:val="00AA766E"/>
    <w:rsid w:val="00AB67E4"/>
    <w:rsid w:val="00B151DB"/>
    <w:rsid w:val="00B63D15"/>
    <w:rsid w:val="00B7592E"/>
    <w:rsid w:val="00B907DC"/>
    <w:rsid w:val="00BA1947"/>
    <w:rsid w:val="00BA66DC"/>
    <w:rsid w:val="00BC528B"/>
    <w:rsid w:val="00BF54EA"/>
    <w:rsid w:val="00C34FDF"/>
    <w:rsid w:val="00C6461E"/>
    <w:rsid w:val="00C72523"/>
    <w:rsid w:val="00C80678"/>
    <w:rsid w:val="00CB442E"/>
    <w:rsid w:val="00CC3555"/>
    <w:rsid w:val="00D535DA"/>
    <w:rsid w:val="00D72BF4"/>
    <w:rsid w:val="00D97C0D"/>
    <w:rsid w:val="00DB1ED5"/>
    <w:rsid w:val="00E24EB4"/>
    <w:rsid w:val="00E55EA4"/>
    <w:rsid w:val="00E91C90"/>
    <w:rsid w:val="00EB78C1"/>
    <w:rsid w:val="00EF00F4"/>
    <w:rsid w:val="00F06063"/>
    <w:rsid w:val="00F100B1"/>
    <w:rsid w:val="00F511BF"/>
    <w:rsid w:val="00F61DEE"/>
    <w:rsid w:val="00F63EAB"/>
    <w:rsid w:val="00F7711B"/>
    <w:rsid w:val="00F777E1"/>
    <w:rsid w:val="00FA677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Verdan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envelope address" w:unhideWhenUsed="0"/>
    <w:lsdException w:name="envelope return" w:unhideWhenUsed="0"/>
    <w:lsdException w:name="footnote reference" w:unhideWhenUsed="0"/>
    <w:lsdException w:name="endnote reference" w:unhideWhenUsed="0"/>
    <w:lsdException w:name="Title" w:semiHidden="0" w:uiPriority="10" w:unhideWhenUsed="0"/>
    <w:lsdException w:name="Default Paragraph Font" w:uiPriority="1"/>
    <w:lsdException w:name="Body Text" w:unhideWhenUsed="0"/>
    <w:lsdException w:name="Subtitle" w:uiPriority="11" w:unhideWhenUsed="0"/>
    <w:lsdException w:name="Date" w:unhideWhenUsed="0"/>
    <w:lsdException w:name="Body Text 2" w:unhideWhenUsed="0"/>
    <w:lsdException w:name="Body Text 3" w:unhideWhenUsed="0"/>
    <w:lsdException w:name="Strong" w:semiHidden="0" w:uiPriority="22" w:unhideWhenUsed="0"/>
    <w:lsdException w:name="Emphasis" w:uiPriority="20" w:unhideWhenUsed="0"/>
    <w:lsdException w:name="HTML Acronym" w:unhideWhenUsed="0"/>
    <w:lsdException w:name="HTML Address" w:unhideWhenUsed="0"/>
    <w:lsdException w:name="HTML Cite" w:unhideWhenUsed="0"/>
    <w:lsdException w:name="HTML Code" w:unhideWhenUsed="0"/>
    <w:lsdException w:name="HTML Definition" w:unhideWhenUsed="0"/>
    <w:lsdException w:name="HTML Keyboard"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unhideWhenUsed="0"/>
    <w:lsdException w:name="TOC Heading" w:uiPriority="39" w:qFormat="1"/>
  </w:latentStyles>
  <w:style w:type="paragraph" w:default="1" w:styleId="Normal">
    <w:name w:val="Normal"/>
    <w:aliases w:val="Normal post titre 2"/>
    <w:qFormat/>
    <w:rsid w:val="00D535DA"/>
    <w:pPr>
      <w:spacing w:after="210" w:line="264" w:lineRule="auto"/>
      <w:jc w:val="both"/>
    </w:pPr>
    <w:rPr>
      <w:rFonts w:ascii="Arial" w:hAnsi="Arial" w:cs="Arial"/>
      <w:color w:val="000000"/>
      <w:sz w:val="21"/>
      <w:szCs w:val="21"/>
    </w:rPr>
  </w:style>
  <w:style w:type="paragraph" w:styleId="Titre1">
    <w:name w:val="heading 1"/>
    <w:basedOn w:val="Normal"/>
    <w:next w:val="Normal"/>
    <w:link w:val="Titre1Car"/>
    <w:autoRedefine/>
    <w:uiPriority w:val="1"/>
    <w:qFormat/>
    <w:rsid w:val="001D6A48"/>
    <w:pPr>
      <w:numPr>
        <w:numId w:val="1"/>
      </w:numPr>
      <w:spacing w:before="240" w:after="240"/>
      <w:ind w:left="426" w:right="1984" w:hanging="426"/>
      <w:contextualSpacing/>
      <w:outlineLvl w:val="0"/>
    </w:pPr>
    <w:rPr>
      <w:b/>
      <w:bCs/>
      <w:smallCaps/>
    </w:rPr>
  </w:style>
  <w:style w:type="paragraph" w:styleId="Titre2">
    <w:name w:val="heading 2"/>
    <w:basedOn w:val="Normal"/>
    <w:next w:val="Normal"/>
    <w:link w:val="Titre2Car"/>
    <w:autoRedefine/>
    <w:qFormat/>
    <w:rsid w:val="00D535DA"/>
    <w:pPr>
      <w:numPr>
        <w:ilvl w:val="1"/>
        <w:numId w:val="1"/>
      </w:numPr>
      <w:tabs>
        <w:tab w:val="left" w:pos="7938"/>
      </w:tabs>
      <w:contextualSpacing/>
      <w:outlineLvl w:val="1"/>
    </w:pPr>
    <w:rPr>
      <w:b/>
    </w:rPr>
  </w:style>
  <w:style w:type="paragraph" w:styleId="Titre3">
    <w:name w:val="heading 3"/>
    <w:basedOn w:val="Normal"/>
    <w:next w:val="Titre5"/>
    <w:link w:val="Titre3Car"/>
    <w:uiPriority w:val="3"/>
    <w:qFormat/>
    <w:rsid w:val="00D535DA"/>
    <w:pPr>
      <w:keepNext/>
      <w:numPr>
        <w:ilvl w:val="2"/>
        <w:numId w:val="2"/>
      </w:numPr>
      <w:tabs>
        <w:tab w:val="left" w:pos="1247"/>
      </w:tabs>
      <w:spacing w:after="220"/>
      <w:outlineLvl w:val="2"/>
    </w:pPr>
    <w:rPr>
      <w:color w:val="auto"/>
      <w:kern w:val="28"/>
      <w:szCs w:val="20"/>
    </w:rPr>
  </w:style>
  <w:style w:type="paragraph" w:styleId="Titre4">
    <w:name w:val="heading 4"/>
    <w:basedOn w:val="Normal"/>
    <w:next w:val="Titre5"/>
    <w:link w:val="Titre4Car"/>
    <w:uiPriority w:val="4"/>
    <w:qFormat/>
    <w:rsid w:val="00D535DA"/>
    <w:pPr>
      <w:keepNext/>
      <w:numPr>
        <w:ilvl w:val="3"/>
        <w:numId w:val="2"/>
      </w:numPr>
      <w:spacing w:before="240" w:after="60"/>
      <w:outlineLvl w:val="3"/>
    </w:pPr>
    <w:rPr>
      <w:rFonts w:cs="Times New Roman"/>
      <w:kern w:val="28"/>
      <w:lang w:val="en-GB"/>
    </w:rPr>
  </w:style>
  <w:style w:type="paragraph" w:styleId="Titre5">
    <w:name w:val="heading 5"/>
    <w:basedOn w:val="Normal"/>
    <w:link w:val="Titre5Car"/>
    <w:uiPriority w:val="5"/>
    <w:qFormat/>
    <w:rsid w:val="00D535DA"/>
    <w:pPr>
      <w:ind w:left="1276"/>
      <w:outlineLvl w:val="4"/>
    </w:pPr>
    <w:rPr>
      <w:color w:val="auto"/>
    </w:rPr>
  </w:style>
  <w:style w:type="paragraph" w:styleId="Titre6">
    <w:name w:val="heading 6"/>
    <w:basedOn w:val="Titre5"/>
    <w:link w:val="Titre6Car"/>
    <w:uiPriority w:val="6"/>
    <w:qFormat/>
    <w:rsid w:val="00D535DA"/>
    <w:pPr>
      <w:numPr>
        <w:numId w:val="3"/>
      </w:numPr>
      <w:outlineLvl w:val="5"/>
    </w:pPr>
  </w:style>
  <w:style w:type="paragraph" w:styleId="Titre7">
    <w:name w:val="heading 7"/>
    <w:basedOn w:val="Titre6"/>
    <w:link w:val="Titre7Car"/>
    <w:uiPriority w:val="9"/>
    <w:unhideWhenUsed/>
    <w:qFormat/>
    <w:rsid w:val="00D535DA"/>
    <w:pPr>
      <w:numPr>
        <w:numId w:val="5"/>
      </w:numPr>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1D6A48"/>
    <w:rPr>
      <w:rFonts w:ascii="Arial" w:hAnsi="Arial" w:cs="Arial"/>
      <w:b/>
      <w:bCs/>
      <w:smallCaps/>
      <w:color w:val="000000"/>
      <w:sz w:val="21"/>
      <w:szCs w:val="21"/>
    </w:rPr>
  </w:style>
  <w:style w:type="character" w:customStyle="1" w:styleId="Titre2Car">
    <w:name w:val="Titre 2 Car"/>
    <w:basedOn w:val="Policepardfaut"/>
    <w:link w:val="Titre2"/>
    <w:uiPriority w:val="2"/>
    <w:rsid w:val="00D535DA"/>
    <w:rPr>
      <w:rFonts w:ascii="Arial" w:hAnsi="Arial" w:cs="Arial"/>
      <w:b/>
      <w:color w:val="000000"/>
      <w:sz w:val="21"/>
      <w:szCs w:val="21"/>
    </w:rPr>
  </w:style>
  <w:style w:type="character" w:customStyle="1" w:styleId="Titre3Car">
    <w:name w:val="Titre 3 Car"/>
    <w:basedOn w:val="Policepardfaut"/>
    <w:link w:val="Titre3"/>
    <w:uiPriority w:val="3"/>
    <w:rsid w:val="00D535DA"/>
    <w:rPr>
      <w:rFonts w:ascii="Arial" w:hAnsi="Arial" w:cs="Arial"/>
      <w:kern w:val="28"/>
      <w:sz w:val="21"/>
      <w:szCs w:val="20"/>
    </w:rPr>
  </w:style>
  <w:style w:type="character" w:customStyle="1" w:styleId="Titre4Car">
    <w:name w:val="Titre 4 Car"/>
    <w:basedOn w:val="Policepardfaut"/>
    <w:link w:val="Titre4"/>
    <w:uiPriority w:val="4"/>
    <w:rsid w:val="00D535DA"/>
    <w:rPr>
      <w:rFonts w:ascii="Arial" w:hAnsi="Arial" w:cs="Times New Roman"/>
      <w:color w:val="000000"/>
      <w:kern w:val="28"/>
      <w:sz w:val="21"/>
      <w:szCs w:val="21"/>
      <w:lang w:val="en-GB"/>
    </w:rPr>
  </w:style>
  <w:style w:type="character" w:customStyle="1" w:styleId="Titre5Car">
    <w:name w:val="Titre 5 Car"/>
    <w:basedOn w:val="Policepardfaut"/>
    <w:link w:val="Titre5"/>
    <w:uiPriority w:val="5"/>
    <w:rsid w:val="00D535DA"/>
    <w:rPr>
      <w:rFonts w:ascii="Arial" w:hAnsi="Arial" w:cs="Arial"/>
      <w:sz w:val="21"/>
      <w:szCs w:val="21"/>
    </w:rPr>
  </w:style>
  <w:style w:type="character" w:customStyle="1" w:styleId="docContentfontsize8">
    <w:name w:val="docContent_fontsize8"/>
    <w:basedOn w:val="Policepardfaut"/>
    <w:semiHidden/>
    <w:rsid w:val="00D535DA"/>
    <w:rPr>
      <w:sz w:val="14"/>
      <w:szCs w:val="14"/>
    </w:rPr>
  </w:style>
  <w:style w:type="paragraph" w:styleId="En-tte">
    <w:name w:val="header"/>
    <w:basedOn w:val="Normal"/>
    <w:link w:val="En-tteCar"/>
    <w:uiPriority w:val="99"/>
    <w:unhideWhenUsed/>
    <w:rsid w:val="00D535DA"/>
    <w:pPr>
      <w:tabs>
        <w:tab w:val="center" w:pos="4536"/>
        <w:tab w:val="right" w:pos="9072"/>
      </w:tabs>
      <w:spacing w:after="0" w:line="240" w:lineRule="auto"/>
    </w:pPr>
  </w:style>
  <w:style w:type="character" w:customStyle="1" w:styleId="En-tteCar">
    <w:name w:val="En-tête Car"/>
    <w:basedOn w:val="Policepardfaut"/>
    <w:link w:val="En-tte"/>
    <w:uiPriority w:val="99"/>
    <w:rsid w:val="00D535DA"/>
    <w:rPr>
      <w:rFonts w:ascii="Arial" w:hAnsi="Arial" w:cs="Arial"/>
      <w:color w:val="000000"/>
      <w:sz w:val="21"/>
      <w:szCs w:val="21"/>
    </w:rPr>
  </w:style>
  <w:style w:type="paragraph" w:customStyle="1" w:styleId="Level1">
    <w:name w:val="Level 1"/>
    <w:basedOn w:val="Normal"/>
    <w:next w:val="Normal"/>
    <w:semiHidden/>
    <w:rsid w:val="00D535DA"/>
    <w:pPr>
      <w:tabs>
        <w:tab w:val="num" w:pos="709"/>
      </w:tabs>
      <w:spacing w:after="220"/>
      <w:ind w:left="709" w:hanging="709"/>
      <w:outlineLvl w:val="0"/>
    </w:pPr>
    <w:rPr>
      <w:rFonts w:cs="Times New Roman"/>
      <w:color w:val="auto"/>
      <w:kern w:val="28"/>
      <w:szCs w:val="20"/>
      <w:lang w:val="en-GB"/>
    </w:rPr>
  </w:style>
  <w:style w:type="paragraph" w:customStyle="1" w:styleId="Level2">
    <w:name w:val="Level 2"/>
    <w:basedOn w:val="Normal"/>
    <w:next w:val="Normal"/>
    <w:semiHidden/>
    <w:rsid w:val="00D535DA"/>
    <w:pPr>
      <w:tabs>
        <w:tab w:val="num" w:pos="709"/>
      </w:tabs>
      <w:spacing w:after="220"/>
      <w:ind w:left="709" w:hanging="709"/>
      <w:outlineLvl w:val="1"/>
    </w:pPr>
    <w:rPr>
      <w:rFonts w:cs="Times New Roman"/>
      <w:color w:val="auto"/>
      <w:kern w:val="28"/>
      <w:szCs w:val="20"/>
      <w:lang w:val="en-GB"/>
    </w:rPr>
  </w:style>
  <w:style w:type="paragraph" w:customStyle="1" w:styleId="Level3">
    <w:name w:val="Level 3"/>
    <w:basedOn w:val="Normal"/>
    <w:next w:val="Normal"/>
    <w:semiHidden/>
    <w:rsid w:val="00D535DA"/>
    <w:pPr>
      <w:tabs>
        <w:tab w:val="num" w:pos="1417"/>
      </w:tabs>
      <w:spacing w:after="220"/>
      <w:ind w:left="1417" w:hanging="708"/>
      <w:outlineLvl w:val="2"/>
    </w:pPr>
    <w:rPr>
      <w:rFonts w:cs="Times New Roman"/>
      <w:color w:val="auto"/>
      <w:kern w:val="28"/>
      <w:szCs w:val="20"/>
      <w:lang w:val="en-GB"/>
    </w:rPr>
  </w:style>
  <w:style w:type="paragraph" w:customStyle="1" w:styleId="Level5">
    <w:name w:val="Level 5"/>
    <w:basedOn w:val="Normal"/>
    <w:next w:val="Normal"/>
    <w:semiHidden/>
    <w:rsid w:val="00D535DA"/>
    <w:pPr>
      <w:tabs>
        <w:tab w:val="num" w:pos="2835"/>
      </w:tabs>
      <w:spacing w:after="220"/>
      <w:ind w:left="2835" w:hanging="709"/>
      <w:outlineLvl w:val="4"/>
    </w:pPr>
    <w:rPr>
      <w:rFonts w:cs="Times New Roman"/>
      <w:color w:val="auto"/>
      <w:kern w:val="28"/>
      <w:szCs w:val="20"/>
      <w:lang w:val="en-GB"/>
    </w:rPr>
  </w:style>
  <w:style w:type="character" w:styleId="Lienhypertexte">
    <w:name w:val="Hyperlink"/>
    <w:basedOn w:val="Policepardfaut"/>
    <w:uiPriority w:val="99"/>
    <w:semiHidden/>
    <w:rsid w:val="00D535DA"/>
    <w:rPr>
      <w:color w:val="0563C1" w:themeColor="hyperlink"/>
      <w:u w:val="single"/>
    </w:rPr>
  </w:style>
  <w:style w:type="paragraph" w:styleId="Paragraphedeliste">
    <w:name w:val="List Paragraph"/>
    <w:basedOn w:val="Normal"/>
    <w:uiPriority w:val="34"/>
    <w:qFormat/>
    <w:rsid w:val="00D535DA"/>
    <w:pPr>
      <w:ind w:left="720"/>
      <w:contextualSpacing/>
    </w:pPr>
  </w:style>
  <w:style w:type="paragraph" w:styleId="Pieddepage">
    <w:name w:val="footer"/>
    <w:basedOn w:val="Normal"/>
    <w:link w:val="PieddepageCar"/>
    <w:uiPriority w:val="99"/>
    <w:rsid w:val="00D535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35DA"/>
    <w:rPr>
      <w:rFonts w:ascii="Arial" w:hAnsi="Arial" w:cs="Arial"/>
      <w:color w:val="000000"/>
      <w:sz w:val="21"/>
      <w:szCs w:val="21"/>
    </w:rPr>
  </w:style>
  <w:style w:type="paragraph" w:styleId="Sansinterligne">
    <w:name w:val="No Spacing"/>
    <w:uiPriority w:val="1"/>
    <w:qFormat/>
    <w:rsid w:val="00D535DA"/>
    <w:pPr>
      <w:spacing w:after="0" w:line="240" w:lineRule="auto"/>
    </w:pPr>
    <w:rPr>
      <w:rFonts w:ascii="Arial" w:eastAsia="Times New Roman" w:hAnsi="Arial"/>
      <w:sz w:val="21"/>
      <w:szCs w:val="21"/>
    </w:rPr>
  </w:style>
  <w:style w:type="paragraph" w:customStyle="1" w:styleId="Style1">
    <w:name w:val="Style1"/>
    <w:basedOn w:val="Titre3"/>
    <w:semiHidden/>
    <w:rsid w:val="00D535DA"/>
    <w:pPr>
      <w:numPr>
        <w:numId w:val="4"/>
      </w:numPr>
      <w:tabs>
        <w:tab w:val="clear" w:pos="1417"/>
      </w:tabs>
    </w:pPr>
  </w:style>
  <w:style w:type="paragraph" w:customStyle="1" w:styleId="Style2">
    <w:name w:val="Style2"/>
    <w:basedOn w:val="Titre5"/>
    <w:semiHidden/>
    <w:rsid w:val="00D535DA"/>
  </w:style>
  <w:style w:type="paragraph" w:customStyle="1" w:styleId="Tableau">
    <w:name w:val="Tableau"/>
    <w:basedOn w:val="Normal"/>
    <w:link w:val="TableauCar"/>
    <w:uiPriority w:val="1"/>
    <w:qFormat/>
    <w:rsid w:val="00D535DA"/>
    <w:pPr>
      <w:spacing w:after="0"/>
      <w:contextualSpacing/>
    </w:pPr>
    <w:rPr>
      <w:noProof/>
    </w:rPr>
  </w:style>
  <w:style w:type="character" w:customStyle="1" w:styleId="TableauCar">
    <w:name w:val="Tableau Car"/>
    <w:basedOn w:val="Policepardfaut"/>
    <w:link w:val="Tableau"/>
    <w:uiPriority w:val="1"/>
    <w:rsid w:val="00D535DA"/>
    <w:rPr>
      <w:rFonts w:ascii="Arial" w:hAnsi="Arial" w:cs="Arial"/>
      <w:noProof/>
      <w:color w:val="000000"/>
      <w:sz w:val="21"/>
      <w:szCs w:val="21"/>
    </w:rPr>
  </w:style>
  <w:style w:type="paragraph" w:styleId="Textedebulles">
    <w:name w:val="Balloon Text"/>
    <w:basedOn w:val="Normal"/>
    <w:link w:val="TextedebullesCar"/>
    <w:uiPriority w:val="99"/>
    <w:semiHidden/>
    <w:unhideWhenUsed/>
    <w:rsid w:val="00D535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35DA"/>
    <w:rPr>
      <w:rFonts w:ascii="Segoe UI" w:hAnsi="Segoe UI" w:cs="Segoe UI"/>
      <w:color w:val="000000"/>
      <w:sz w:val="18"/>
      <w:szCs w:val="18"/>
    </w:rPr>
  </w:style>
  <w:style w:type="paragraph" w:customStyle="1" w:styleId="Titre0">
    <w:name w:val="Titre 0"/>
    <w:basedOn w:val="Sansinterligne"/>
    <w:next w:val="Normal"/>
    <w:link w:val="Titre0Car"/>
    <w:uiPriority w:val="1"/>
    <w:qFormat/>
    <w:rsid w:val="00D535DA"/>
    <w:pPr>
      <w:outlineLvl w:val="0"/>
    </w:pPr>
    <w:rPr>
      <w:rFonts w:cs="Times New Roman"/>
      <w:b/>
      <w:smallCaps/>
      <w:color w:val="000000"/>
    </w:rPr>
  </w:style>
  <w:style w:type="character" w:customStyle="1" w:styleId="Titre0Car">
    <w:name w:val="Titre 0 Car"/>
    <w:basedOn w:val="Titre1Car"/>
    <w:link w:val="Titre0"/>
    <w:uiPriority w:val="1"/>
    <w:rsid w:val="00D535DA"/>
    <w:rPr>
      <w:rFonts w:ascii="Arial" w:eastAsia="Times New Roman" w:hAnsi="Arial" w:cs="Times New Roman"/>
      <w:b/>
      <w:bCs w:val="0"/>
      <w:smallCaps/>
      <w:color w:val="000000"/>
      <w:sz w:val="21"/>
      <w:szCs w:val="21"/>
    </w:rPr>
  </w:style>
  <w:style w:type="character" w:customStyle="1" w:styleId="Titre7Car">
    <w:name w:val="Titre 7 Car"/>
    <w:basedOn w:val="Policepardfaut"/>
    <w:link w:val="Titre7"/>
    <w:uiPriority w:val="9"/>
    <w:rsid w:val="00D535DA"/>
    <w:rPr>
      <w:rFonts w:ascii="Arial" w:hAnsi="Arial" w:cs="Arial"/>
      <w:sz w:val="21"/>
      <w:szCs w:val="21"/>
    </w:rPr>
  </w:style>
  <w:style w:type="character" w:customStyle="1" w:styleId="Titre6Car">
    <w:name w:val="Titre 6 Car"/>
    <w:basedOn w:val="Policepardfaut"/>
    <w:link w:val="Titre6"/>
    <w:uiPriority w:val="6"/>
    <w:rsid w:val="00D535DA"/>
    <w:rPr>
      <w:rFonts w:ascii="Arial" w:hAnsi="Arial" w:cs="Arial"/>
      <w:sz w:val="21"/>
      <w:szCs w:val="21"/>
    </w:rPr>
  </w:style>
  <w:style w:type="table" w:styleId="Grilledutableau">
    <w:name w:val="Table Grid"/>
    <w:basedOn w:val="TableauNormal"/>
    <w:uiPriority w:val="59"/>
    <w:rsid w:val="00F61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uiPriority w:val="99"/>
    <w:rsid w:val="005D37E8"/>
    <w:pPr>
      <w:autoSpaceDE w:val="0"/>
      <w:autoSpaceDN w:val="0"/>
      <w:adjustRightInd w:val="0"/>
      <w:spacing w:after="0" w:line="288" w:lineRule="auto"/>
      <w:jc w:val="left"/>
      <w:textAlignment w:val="center"/>
    </w:pPr>
    <w:rPr>
      <w:rFonts w:ascii="Minion Pro" w:hAnsi="Minion Pro" w:cs="Minion Pro"/>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Verdan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0"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envelope address" w:unhideWhenUsed="0"/>
    <w:lsdException w:name="envelope return" w:unhideWhenUsed="0"/>
    <w:lsdException w:name="footnote reference" w:unhideWhenUsed="0"/>
    <w:lsdException w:name="endnote reference" w:unhideWhenUsed="0"/>
    <w:lsdException w:name="Title" w:semiHidden="0" w:uiPriority="10" w:unhideWhenUsed="0"/>
    <w:lsdException w:name="Default Paragraph Font" w:uiPriority="1"/>
    <w:lsdException w:name="Body Text" w:unhideWhenUsed="0"/>
    <w:lsdException w:name="Subtitle" w:uiPriority="11" w:unhideWhenUsed="0"/>
    <w:lsdException w:name="Date" w:unhideWhenUsed="0"/>
    <w:lsdException w:name="Body Text 2" w:unhideWhenUsed="0"/>
    <w:lsdException w:name="Body Text 3" w:unhideWhenUsed="0"/>
    <w:lsdException w:name="Strong" w:semiHidden="0" w:uiPriority="22" w:unhideWhenUsed="0"/>
    <w:lsdException w:name="Emphasis" w:uiPriority="20" w:unhideWhenUsed="0"/>
    <w:lsdException w:name="HTML Acronym" w:unhideWhenUsed="0"/>
    <w:lsdException w:name="HTML Address" w:unhideWhenUsed="0"/>
    <w:lsdException w:name="HTML Cite" w:unhideWhenUsed="0"/>
    <w:lsdException w:name="HTML Code" w:unhideWhenUsed="0"/>
    <w:lsdException w:name="HTML Definition" w:unhideWhenUsed="0"/>
    <w:lsdException w:name="HTML Keyboard"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unhideWhenUsed="0"/>
    <w:lsdException w:name="TOC Heading" w:uiPriority="39" w:qFormat="1"/>
  </w:latentStyles>
  <w:style w:type="paragraph" w:default="1" w:styleId="Normal">
    <w:name w:val="Normal"/>
    <w:aliases w:val="Normal post titre 2"/>
    <w:qFormat/>
    <w:rsid w:val="00D535DA"/>
    <w:pPr>
      <w:spacing w:after="210" w:line="264" w:lineRule="auto"/>
      <w:jc w:val="both"/>
    </w:pPr>
    <w:rPr>
      <w:rFonts w:ascii="Arial" w:hAnsi="Arial" w:cs="Arial"/>
      <w:color w:val="000000"/>
      <w:sz w:val="21"/>
      <w:szCs w:val="21"/>
    </w:rPr>
  </w:style>
  <w:style w:type="paragraph" w:styleId="Titre1">
    <w:name w:val="heading 1"/>
    <w:basedOn w:val="Normal"/>
    <w:next w:val="Normal"/>
    <w:link w:val="Titre1Car"/>
    <w:autoRedefine/>
    <w:uiPriority w:val="1"/>
    <w:qFormat/>
    <w:rsid w:val="001D6A48"/>
    <w:pPr>
      <w:numPr>
        <w:numId w:val="1"/>
      </w:numPr>
      <w:spacing w:before="240" w:after="240"/>
      <w:ind w:left="426" w:right="1984" w:hanging="426"/>
      <w:contextualSpacing/>
      <w:outlineLvl w:val="0"/>
    </w:pPr>
    <w:rPr>
      <w:b/>
      <w:bCs/>
      <w:smallCaps/>
    </w:rPr>
  </w:style>
  <w:style w:type="paragraph" w:styleId="Titre2">
    <w:name w:val="heading 2"/>
    <w:basedOn w:val="Normal"/>
    <w:next w:val="Normal"/>
    <w:link w:val="Titre2Car"/>
    <w:autoRedefine/>
    <w:qFormat/>
    <w:rsid w:val="00D535DA"/>
    <w:pPr>
      <w:numPr>
        <w:ilvl w:val="1"/>
        <w:numId w:val="1"/>
      </w:numPr>
      <w:tabs>
        <w:tab w:val="left" w:pos="7938"/>
      </w:tabs>
      <w:contextualSpacing/>
      <w:outlineLvl w:val="1"/>
    </w:pPr>
    <w:rPr>
      <w:b/>
    </w:rPr>
  </w:style>
  <w:style w:type="paragraph" w:styleId="Titre3">
    <w:name w:val="heading 3"/>
    <w:basedOn w:val="Normal"/>
    <w:next w:val="Titre5"/>
    <w:link w:val="Titre3Car"/>
    <w:uiPriority w:val="3"/>
    <w:qFormat/>
    <w:rsid w:val="00D535DA"/>
    <w:pPr>
      <w:keepNext/>
      <w:numPr>
        <w:ilvl w:val="2"/>
        <w:numId w:val="2"/>
      </w:numPr>
      <w:tabs>
        <w:tab w:val="left" w:pos="1247"/>
      </w:tabs>
      <w:spacing w:after="220"/>
      <w:outlineLvl w:val="2"/>
    </w:pPr>
    <w:rPr>
      <w:color w:val="auto"/>
      <w:kern w:val="28"/>
      <w:szCs w:val="20"/>
    </w:rPr>
  </w:style>
  <w:style w:type="paragraph" w:styleId="Titre4">
    <w:name w:val="heading 4"/>
    <w:basedOn w:val="Normal"/>
    <w:next w:val="Titre5"/>
    <w:link w:val="Titre4Car"/>
    <w:uiPriority w:val="4"/>
    <w:qFormat/>
    <w:rsid w:val="00D535DA"/>
    <w:pPr>
      <w:keepNext/>
      <w:numPr>
        <w:ilvl w:val="3"/>
        <w:numId w:val="2"/>
      </w:numPr>
      <w:spacing w:before="240" w:after="60"/>
      <w:outlineLvl w:val="3"/>
    </w:pPr>
    <w:rPr>
      <w:rFonts w:cs="Times New Roman"/>
      <w:kern w:val="28"/>
      <w:lang w:val="en-GB"/>
    </w:rPr>
  </w:style>
  <w:style w:type="paragraph" w:styleId="Titre5">
    <w:name w:val="heading 5"/>
    <w:basedOn w:val="Normal"/>
    <w:link w:val="Titre5Car"/>
    <w:uiPriority w:val="5"/>
    <w:qFormat/>
    <w:rsid w:val="00D535DA"/>
    <w:pPr>
      <w:ind w:left="1276"/>
      <w:outlineLvl w:val="4"/>
    </w:pPr>
    <w:rPr>
      <w:color w:val="auto"/>
    </w:rPr>
  </w:style>
  <w:style w:type="paragraph" w:styleId="Titre6">
    <w:name w:val="heading 6"/>
    <w:basedOn w:val="Titre5"/>
    <w:link w:val="Titre6Car"/>
    <w:uiPriority w:val="6"/>
    <w:qFormat/>
    <w:rsid w:val="00D535DA"/>
    <w:pPr>
      <w:numPr>
        <w:numId w:val="3"/>
      </w:numPr>
      <w:outlineLvl w:val="5"/>
    </w:pPr>
  </w:style>
  <w:style w:type="paragraph" w:styleId="Titre7">
    <w:name w:val="heading 7"/>
    <w:basedOn w:val="Titre6"/>
    <w:link w:val="Titre7Car"/>
    <w:uiPriority w:val="9"/>
    <w:unhideWhenUsed/>
    <w:qFormat/>
    <w:rsid w:val="00D535DA"/>
    <w:pPr>
      <w:numPr>
        <w:numId w:val="5"/>
      </w:numPr>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1D6A48"/>
    <w:rPr>
      <w:rFonts w:ascii="Arial" w:hAnsi="Arial" w:cs="Arial"/>
      <w:b/>
      <w:bCs/>
      <w:smallCaps/>
      <w:color w:val="000000"/>
      <w:sz w:val="21"/>
      <w:szCs w:val="21"/>
    </w:rPr>
  </w:style>
  <w:style w:type="character" w:customStyle="1" w:styleId="Titre2Car">
    <w:name w:val="Titre 2 Car"/>
    <w:basedOn w:val="Policepardfaut"/>
    <w:link w:val="Titre2"/>
    <w:uiPriority w:val="2"/>
    <w:rsid w:val="00D535DA"/>
    <w:rPr>
      <w:rFonts w:ascii="Arial" w:hAnsi="Arial" w:cs="Arial"/>
      <w:b/>
      <w:color w:val="000000"/>
      <w:sz w:val="21"/>
      <w:szCs w:val="21"/>
    </w:rPr>
  </w:style>
  <w:style w:type="character" w:customStyle="1" w:styleId="Titre3Car">
    <w:name w:val="Titre 3 Car"/>
    <w:basedOn w:val="Policepardfaut"/>
    <w:link w:val="Titre3"/>
    <w:uiPriority w:val="3"/>
    <w:rsid w:val="00D535DA"/>
    <w:rPr>
      <w:rFonts w:ascii="Arial" w:hAnsi="Arial" w:cs="Arial"/>
      <w:kern w:val="28"/>
      <w:sz w:val="21"/>
      <w:szCs w:val="20"/>
    </w:rPr>
  </w:style>
  <w:style w:type="character" w:customStyle="1" w:styleId="Titre4Car">
    <w:name w:val="Titre 4 Car"/>
    <w:basedOn w:val="Policepardfaut"/>
    <w:link w:val="Titre4"/>
    <w:uiPriority w:val="4"/>
    <w:rsid w:val="00D535DA"/>
    <w:rPr>
      <w:rFonts w:ascii="Arial" w:hAnsi="Arial" w:cs="Times New Roman"/>
      <w:color w:val="000000"/>
      <w:kern w:val="28"/>
      <w:sz w:val="21"/>
      <w:szCs w:val="21"/>
      <w:lang w:val="en-GB"/>
    </w:rPr>
  </w:style>
  <w:style w:type="character" w:customStyle="1" w:styleId="Titre5Car">
    <w:name w:val="Titre 5 Car"/>
    <w:basedOn w:val="Policepardfaut"/>
    <w:link w:val="Titre5"/>
    <w:uiPriority w:val="5"/>
    <w:rsid w:val="00D535DA"/>
    <w:rPr>
      <w:rFonts w:ascii="Arial" w:hAnsi="Arial" w:cs="Arial"/>
      <w:sz w:val="21"/>
      <w:szCs w:val="21"/>
    </w:rPr>
  </w:style>
  <w:style w:type="character" w:customStyle="1" w:styleId="docContentfontsize8">
    <w:name w:val="docContent_fontsize8"/>
    <w:basedOn w:val="Policepardfaut"/>
    <w:semiHidden/>
    <w:rsid w:val="00D535DA"/>
    <w:rPr>
      <w:sz w:val="14"/>
      <w:szCs w:val="14"/>
    </w:rPr>
  </w:style>
  <w:style w:type="paragraph" w:styleId="En-tte">
    <w:name w:val="header"/>
    <w:basedOn w:val="Normal"/>
    <w:link w:val="En-tteCar"/>
    <w:uiPriority w:val="99"/>
    <w:unhideWhenUsed/>
    <w:rsid w:val="00D535DA"/>
    <w:pPr>
      <w:tabs>
        <w:tab w:val="center" w:pos="4536"/>
        <w:tab w:val="right" w:pos="9072"/>
      </w:tabs>
      <w:spacing w:after="0" w:line="240" w:lineRule="auto"/>
    </w:pPr>
  </w:style>
  <w:style w:type="character" w:customStyle="1" w:styleId="En-tteCar">
    <w:name w:val="En-tête Car"/>
    <w:basedOn w:val="Policepardfaut"/>
    <w:link w:val="En-tte"/>
    <w:uiPriority w:val="99"/>
    <w:rsid w:val="00D535DA"/>
    <w:rPr>
      <w:rFonts w:ascii="Arial" w:hAnsi="Arial" w:cs="Arial"/>
      <w:color w:val="000000"/>
      <w:sz w:val="21"/>
      <w:szCs w:val="21"/>
    </w:rPr>
  </w:style>
  <w:style w:type="paragraph" w:customStyle="1" w:styleId="Level1">
    <w:name w:val="Level 1"/>
    <w:basedOn w:val="Normal"/>
    <w:next w:val="Normal"/>
    <w:semiHidden/>
    <w:rsid w:val="00D535DA"/>
    <w:pPr>
      <w:tabs>
        <w:tab w:val="num" w:pos="709"/>
      </w:tabs>
      <w:spacing w:after="220"/>
      <w:ind w:left="709" w:hanging="709"/>
      <w:outlineLvl w:val="0"/>
    </w:pPr>
    <w:rPr>
      <w:rFonts w:cs="Times New Roman"/>
      <w:color w:val="auto"/>
      <w:kern w:val="28"/>
      <w:szCs w:val="20"/>
      <w:lang w:val="en-GB"/>
    </w:rPr>
  </w:style>
  <w:style w:type="paragraph" w:customStyle="1" w:styleId="Level2">
    <w:name w:val="Level 2"/>
    <w:basedOn w:val="Normal"/>
    <w:next w:val="Normal"/>
    <w:semiHidden/>
    <w:rsid w:val="00D535DA"/>
    <w:pPr>
      <w:tabs>
        <w:tab w:val="num" w:pos="709"/>
      </w:tabs>
      <w:spacing w:after="220"/>
      <w:ind w:left="709" w:hanging="709"/>
      <w:outlineLvl w:val="1"/>
    </w:pPr>
    <w:rPr>
      <w:rFonts w:cs="Times New Roman"/>
      <w:color w:val="auto"/>
      <w:kern w:val="28"/>
      <w:szCs w:val="20"/>
      <w:lang w:val="en-GB"/>
    </w:rPr>
  </w:style>
  <w:style w:type="paragraph" w:customStyle="1" w:styleId="Level3">
    <w:name w:val="Level 3"/>
    <w:basedOn w:val="Normal"/>
    <w:next w:val="Normal"/>
    <w:semiHidden/>
    <w:rsid w:val="00D535DA"/>
    <w:pPr>
      <w:tabs>
        <w:tab w:val="num" w:pos="1417"/>
      </w:tabs>
      <w:spacing w:after="220"/>
      <w:ind w:left="1417" w:hanging="708"/>
      <w:outlineLvl w:val="2"/>
    </w:pPr>
    <w:rPr>
      <w:rFonts w:cs="Times New Roman"/>
      <w:color w:val="auto"/>
      <w:kern w:val="28"/>
      <w:szCs w:val="20"/>
      <w:lang w:val="en-GB"/>
    </w:rPr>
  </w:style>
  <w:style w:type="paragraph" w:customStyle="1" w:styleId="Level5">
    <w:name w:val="Level 5"/>
    <w:basedOn w:val="Normal"/>
    <w:next w:val="Normal"/>
    <w:semiHidden/>
    <w:rsid w:val="00D535DA"/>
    <w:pPr>
      <w:tabs>
        <w:tab w:val="num" w:pos="2835"/>
      </w:tabs>
      <w:spacing w:after="220"/>
      <w:ind w:left="2835" w:hanging="709"/>
      <w:outlineLvl w:val="4"/>
    </w:pPr>
    <w:rPr>
      <w:rFonts w:cs="Times New Roman"/>
      <w:color w:val="auto"/>
      <w:kern w:val="28"/>
      <w:szCs w:val="20"/>
      <w:lang w:val="en-GB"/>
    </w:rPr>
  </w:style>
  <w:style w:type="character" w:styleId="Lienhypertexte">
    <w:name w:val="Hyperlink"/>
    <w:basedOn w:val="Policepardfaut"/>
    <w:uiPriority w:val="99"/>
    <w:semiHidden/>
    <w:rsid w:val="00D535DA"/>
    <w:rPr>
      <w:color w:val="0563C1" w:themeColor="hyperlink"/>
      <w:u w:val="single"/>
    </w:rPr>
  </w:style>
  <w:style w:type="paragraph" w:styleId="Paragraphedeliste">
    <w:name w:val="List Paragraph"/>
    <w:basedOn w:val="Normal"/>
    <w:uiPriority w:val="34"/>
    <w:qFormat/>
    <w:rsid w:val="00D535DA"/>
    <w:pPr>
      <w:ind w:left="720"/>
      <w:contextualSpacing/>
    </w:pPr>
  </w:style>
  <w:style w:type="paragraph" w:styleId="Pieddepage">
    <w:name w:val="footer"/>
    <w:basedOn w:val="Normal"/>
    <w:link w:val="PieddepageCar"/>
    <w:uiPriority w:val="99"/>
    <w:rsid w:val="00D535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35DA"/>
    <w:rPr>
      <w:rFonts w:ascii="Arial" w:hAnsi="Arial" w:cs="Arial"/>
      <w:color w:val="000000"/>
      <w:sz w:val="21"/>
      <w:szCs w:val="21"/>
    </w:rPr>
  </w:style>
  <w:style w:type="paragraph" w:styleId="Sansinterligne">
    <w:name w:val="No Spacing"/>
    <w:uiPriority w:val="1"/>
    <w:qFormat/>
    <w:rsid w:val="00D535DA"/>
    <w:pPr>
      <w:spacing w:after="0" w:line="240" w:lineRule="auto"/>
    </w:pPr>
    <w:rPr>
      <w:rFonts w:ascii="Arial" w:eastAsia="Times New Roman" w:hAnsi="Arial"/>
      <w:sz w:val="21"/>
      <w:szCs w:val="21"/>
    </w:rPr>
  </w:style>
  <w:style w:type="paragraph" w:customStyle="1" w:styleId="Style1">
    <w:name w:val="Style1"/>
    <w:basedOn w:val="Titre3"/>
    <w:semiHidden/>
    <w:rsid w:val="00D535DA"/>
    <w:pPr>
      <w:numPr>
        <w:numId w:val="4"/>
      </w:numPr>
      <w:tabs>
        <w:tab w:val="clear" w:pos="1417"/>
      </w:tabs>
    </w:pPr>
  </w:style>
  <w:style w:type="paragraph" w:customStyle="1" w:styleId="Style2">
    <w:name w:val="Style2"/>
    <w:basedOn w:val="Titre5"/>
    <w:semiHidden/>
    <w:rsid w:val="00D535DA"/>
  </w:style>
  <w:style w:type="paragraph" w:customStyle="1" w:styleId="Tableau">
    <w:name w:val="Tableau"/>
    <w:basedOn w:val="Normal"/>
    <w:link w:val="TableauCar"/>
    <w:uiPriority w:val="1"/>
    <w:qFormat/>
    <w:rsid w:val="00D535DA"/>
    <w:pPr>
      <w:spacing w:after="0"/>
      <w:contextualSpacing/>
    </w:pPr>
    <w:rPr>
      <w:noProof/>
    </w:rPr>
  </w:style>
  <w:style w:type="character" w:customStyle="1" w:styleId="TableauCar">
    <w:name w:val="Tableau Car"/>
    <w:basedOn w:val="Policepardfaut"/>
    <w:link w:val="Tableau"/>
    <w:uiPriority w:val="1"/>
    <w:rsid w:val="00D535DA"/>
    <w:rPr>
      <w:rFonts w:ascii="Arial" w:hAnsi="Arial" w:cs="Arial"/>
      <w:noProof/>
      <w:color w:val="000000"/>
      <w:sz w:val="21"/>
      <w:szCs w:val="21"/>
    </w:rPr>
  </w:style>
  <w:style w:type="paragraph" w:styleId="Textedebulles">
    <w:name w:val="Balloon Text"/>
    <w:basedOn w:val="Normal"/>
    <w:link w:val="TextedebullesCar"/>
    <w:uiPriority w:val="99"/>
    <w:semiHidden/>
    <w:unhideWhenUsed/>
    <w:rsid w:val="00D535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35DA"/>
    <w:rPr>
      <w:rFonts w:ascii="Segoe UI" w:hAnsi="Segoe UI" w:cs="Segoe UI"/>
      <w:color w:val="000000"/>
      <w:sz w:val="18"/>
      <w:szCs w:val="18"/>
    </w:rPr>
  </w:style>
  <w:style w:type="paragraph" w:customStyle="1" w:styleId="Titre0">
    <w:name w:val="Titre 0"/>
    <w:basedOn w:val="Sansinterligne"/>
    <w:next w:val="Normal"/>
    <w:link w:val="Titre0Car"/>
    <w:uiPriority w:val="1"/>
    <w:qFormat/>
    <w:rsid w:val="00D535DA"/>
    <w:pPr>
      <w:outlineLvl w:val="0"/>
    </w:pPr>
    <w:rPr>
      <w:rFonts w:cs="Times New Roman"/>
      <w:b/>
      <w:smallCaps/>
      <w:color w:val="000000"/>
    </w:rPr>
  </w:style>
  <w:style w:type="character" w:customStyle="1" w:styleId="Titre0Car">
    <w:name w:val="Titre 0 Car"/>
    <w:basedOn w:val="Titre1Car"/>
    <w:link w:val="Titre0"/>
    <w:uiPriority w:val="1"/>
    <w:rsid w:val="00D535DA"/>
    <w:rPr>
      <w:rFonts w:ascii="Arial" w:eastAsia="Times New Roman" w:hAnsi="Arial" w:cs="Times New Roman"/>
      <w:b/>
      <w:bCs w:val="0"/>
      <w:smallCaps/>
      <w:color w:val="000000"/>
      <w:sz w:val="21"/>
      <w:szCs w:val="21"/>
    </w:rPr>
  </w:style>
  <w:style w:type="character" w:customStyle="1" w:styleId="Titre7Car">
    <w:name w:val="Titre 7 Car"/>
    <w:basedOn w:val="Policepardfaut"/>
    <w:link w:val="Titre7"/>
    <w:uiPriority w:val="9"/>
    <w:rsid w:val="00D535DA"/>
    <w:rPr>
      <w:rFonts w:ascii="Arial" w:hAnsi="Arial" w:cs="Arial"/>
      <w:sz w:val="21"/>
      <w:szCs w:val="21"/>
    </w:rPr>
  </w:style>
  <w:style w:type="character" w:customStyle="1" w:styleId="Titre6Car">
    <w:name w:val="Titre 6 Car"/>
    <w:basedOn w:val="Policepardfaut"/>
    <w:link w:val="Titre6"/>
    <w:uiPriority w:val="6"/>
    <w:rsid w:val="00D535DA"/>
    <w:rPr>
      <w:rFonts w:ascii="Arial" w:hAnsi="Arial" w:cs="Arial"/>
      <w:sz w:val="21"/>
      <w:szCs w:val="21"/>
    </w:rPr>
  </w:style>
  <w:style w:type="table" w:styleId="Grille">
    <w:name w:val="Table Grid"/>
    <w:basedOn w:val="TableauNormal"/>
    <w:uiPriority w:val="59"/>
    <w:rsid w:val="00F61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uiPriority w:val="99"/>
    <w:rsid w:val="005D37E8"/>
    <w:pPr>
      <w:autoSpaceDE w:val="0"/>
      <w:autoSpaceDN w:val="0"/>
      <w:adjustRightInd w:val="0"/>
      <w:spacing w:after="0" w:line="288" w:lineRule="auto"/>
      <w:jc w:val="left"/>
      <w:textAlignment w:val="center"/>
    </w:pPr>
    <w:rPr>
      <w:rFonts w:ascii="Minion Pro" w:hAnsi="Minion Pro" w:cs="Minion Pro"/>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C9A8C-99EB-4E22-AFBB-A21E4E0BE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5156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infhor</dc:creator>
  <cp:lastModifiedBy>Véronique FORESTIER</cp:lastModifiedBy>
  <cp:revision>2</cp:revision>
  <cp:lastPrinted>2015-11-24T09:26:00Z</cp:lastPrinted>
  <dcterms:created xsi:type="dcterms:W3CDTF">2016-02-22T15:56:00Z</dcterms:created>
  <dcterms:modified xsi:type="dcterms:W3CDTF">2016-02-22T15:56:00Z</dcterms:modified>
</cp:coreProperties>
</file>