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page" w:horzAnchor="margin" w:tblpY="3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3979"/>
      </w:tblGrid>
      <w:tr w:rsidR="00EA0E34" w:rsidRPr="00F61DEE" w:rsidTr="00EA0E34">
        <w:trPr>
          <w:gridAfter w:val="1"/>
          <w:wAfter w:w="4143" w:type="dxa"/>
        </w:trPr>
        <w:tc>
          <w:tcPr>
            <w:tcW w:w="5145" w:type="dxa"/>
            <w:tcBorders>
              <w:bottom w:val="single" w:sz="12" w:space="0" w:color="595959" w:themeColor="text1" w:themeTint="A6"/>
            </w:tcBorders>
          </w:tcPr>
          <w:p w:rsidR="00EA0E34" w:rsidRPr="00F61DEE" w:rsidRDefault="00EA0E34" w:rsidP="00EA0E34">
            <w:pPr>
              <w:rPr>
                <w:b/>
                <w:color w:val="595959" w:themeColor="text1" w:themeTint="A6"/>
              </w:rPr>
            </w:pPr>
            <w:r>
              <w:rPr>
                <w:b/>
                <w:color w:val="595959" w:themeColor="text1" w:themeTint="A6"/>
              </w:rPr>
              <w:t>CONTRATS D’AFFAIRES</w:t>
            </w:r>
            <w:r w:rsidRPr="00F61DEE">
              <w:rPr>
                <w:b/>
                <w:color w:val="595959" w:themeColor="text1" w:themeTint="A6"/>
              </w:rPr>
              <w:t xml:space="preserve"> | DLGA</w:t>
            </w:r>
          </w:p>
        </w:tc>
      </w:tr>
      <w:tr w:rsidR="00EA0E34" w:rsidRPr="00AA766E" w:rsidTr="00EA0E34">
        <w:tc>
          <w:tcPr>
            <w:tcW w:w="9288" w:type="dxa"/>
            <w:gridSpan w:val="2"/>
          </w:tcPr>
          <w:p w:rsidR="00EA0E34" w:rsidRDefault="00EA0E34" w:rsidP="007F37CB">
            <w:pPr>
              <w:spacing w:before="240" w:after="0"/>
              <w:rPr>
                <w:color w:val="595959" w:themeColor="text1" w:themeTint="A6"/>
                <w:spacing w:val="40"/>
                <w:sz w:val="24"/>
              </w:rPr>
            </w:pPr>
            <w:r w:rsidRPr="001D2E56">
              <w:rPr>
                <w:color w:val="595959" w:themeColor="text1" w:themeTint="A6"/>
                <w:spacing w:val="40"/>
                <w:sz w:val="24"/>
              </w:rPr>
              <w:t>SOMMAIRE</w:t>
            </w:r>
          </w:p>
          <w:tbl>
            <w:tblPr>
              <w:tblStyle w:val="Grilledutableau"/>
              <w:tblW w:w="8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8482"/>
            </w:tblGrid>
            <w:tr w:rsidR="00EA0E34" w:rsidTr="00EA0E34">
              <w:tc>
                <w:tcPr>
                  <w:tcW w:w="0" w:type="auto"/>
                </w:tcPr>
                <w:p w:rsidR="00EA0E34" w:rsidRDefault="00EA0E34" w:rsidP="00232169">
                  <w:pPr>
                    <w:framePr w:hSpace="141" w:wrap="around" w:vAnchor="page" w:hAnchor="margin" w:y="3586"/>
                    <w:spacing w:after="0"/>
                    <w:ind w:left="483" w:hanging="483"/>
                    <w:jc w:val="left"/>
                    <w:rPr>
                      <w:color w:val="595959" w:themeColor="text1" w:themeTint="A6"/>
                      <w:spacing w:val="40"/>
                    </w:rPr>
                  </w:pPr>
                  <w:r>
                    <w:rPr>
                      <w:color w:val="595959" w:themeColor="text1" w:themeTint="A6"/>
                      <w:spacing w:val="40"/>
                    </w:rPr>
                    <w:t>1.</w:t>
                  </w:r>
                </w:p>
              </w:tc>
              <w:tc>
                <w:tcPr>
                  <w:tcW w:w="8482" w:type="dxa"/>
                  <w:vAlign w:val="center"/>
                </w:tcPr>
                <w:p w:rsidR="00EA0E34" w:rsidRPr="000C2285" w:rsidRDefault="00C72A1B" w:rsidP="00C72A1B">
                  <w:pPr>
                    <w:framePr w:hSpace="141" w:wrap="around" w:vAnchor="page" w:hAnchor="margin" w:y="3586"/>
                    <w:spacing w:after="0"/>
                    <w:rPr>
                      <w:color w:val="595959" w:themeColor="text1" w:themeTint="A6"/>
                    </w:rPr>
                  </w:pPr>
                  <w:r>
                    <w:rPr>
                      <w:color w:val="595959" w:themeColor="text1" w:themeTint="A6"/>
                    </w:rPr>
                    <w:t>L’évaluation des droits sociaux d’un associé sortant : la j</w:t>
                  </w:r>
                  <w:r w:rsidR="00902BB1">
                    <w:rPr>
                      <w:color w:val="595959" w:themeColor="text1" w:themeTint="A6"/>
                    </w:rPr>
                    <w:t>urisprudence est conforme à la Constitution</w:t>
                  </w:r>
                </w:p>
              </w:tc>
            </w:tr>
            <w:tr w:rsidR="00EA0E34" w:rsidTr="00EA0E34">
              <w:tc>
                <w:tcPr>
                  <w:tcW w:w="0" w:type="auto"/>
                </w:tcPr>
                <w:p w:rsidR="00EA0E34" w:rsidRDefault="00113FB8" w:rsidP="00232169">
                  <w:pPr>
                    <w:framePr w:hSpace="141" w:wrap="around" w:vAnchor="page" w:hAnchor="margin" w:y="3586"/>
                    <w:spacing w:after="0"/>
                    <w:ind w:left="483" w:hanging="483"/>
                    <w:jc w:val="left"/>
                    <w:rPr>
                      <w:color w:val="595959" w:themeColor="text1" w:themeTint="A6"/>
                      <w:spacing w:val="40"/>
                    </w:rPr>
                  </w:pPr>
                  <w:r>
                    <w:rPr>
                      <w:color w:val="595959" w:themeColor="text1" w:themeTint="A6"/>
                      <w:spacing w:val="40"/>
                    </w:rPr>
                    <w:t>2.</w:t>
                  </w:r>
                </w:p>
              </w:tc>
              <w:tc>
                <w:tcPr>
                  <w:tcW w:w="8482" w:type="dxa"/>
                  <w:vAlign w:val="center"/>
                </w:tcPr>
                <w:p w:rsidR="00EA0E34" w:rsidRPr="000C2285" w:rsidRDefault="00902BB1" w:rsidP="00232169">
                  <w:pPr>
                    <w:framePr w:hSpace="141" w:wrap="around" w:vAnchor="page" w:hAnchor="margin" w:y="3586"/>
                    <w:spacing w:after="0"/>
                    <w:rPr>
                      <w:color w:val="595959" w:themeColor="text1" w:themeTint="A6"/>
                    </w:rPr>
                  </w:pPr>
                  <w:r>
                    <w:rPr>
                      <w:color w:val="595959" w:themeColor="text1" w:themeTint="A6"/>
                    </w:rPr>
                    <w:t xml:space="preserve">L’usufruitier de parts sociales </w:t>
                  </w:r>
                  <w:r w:rsidR="008F371F">
                    <w:rPr>
                      <w:color w:val="595959" w:themeColor="text1" w:themeTint="A6"/>
                    </w:rPr>
                    <w:t xml:space="preserve">n’a pas à être convoqué à toutes les assemblées </w:t>
                  </w:r>
                </w:p>
              </w:tc>
            </w:tr>
            <w:tr w:rsidR="00EA0E34" w:rsidTr="00EA0E34">
              <w:tc>
                <w:tcPr>
                  <w:tcW w:w="0" w:type="auto"/>
                </w:tcPr>
                <w:p w:rsidR="00EA0E34" w:rsidRDefault="00113FB8" w:rsidP="00232169">
                  <w:pPr>
                    <w:framePr w:hSpace="141" w:wrap="around" w:vAnchor="page" w:hAnchor="margin" w:y="3586"/>
                    <w:spacing w:after="0"/>
                    <w:jc w:val="left"/>
                    <w:rPr>
                      <w:color w:val="595959" w:themeColor="text1" w:themeTint="A6"/>
                      <w:spacing w:val="40"/>
                    </w:rPr>
                  </w:pPr>
                  <w:r>
                    <w:rPr>
                      <w:color w:val="595959" w:themeColor="text1" w:themeTint="A6"/>
                      <w:spacing w:val="40"/>
                    </w:rPr>
                    <w:t>3</w:t>
                  </w:r>
                  <w:r w:rsidR="00EA0E34">
                    <w:rPr>
                      <w:color w:val="595959" w:themeColor="text1" w:themeTint="A6"/>
                      <w:spacing w:val="40"/>
                    </w:rPr>
                    <w:t>.</w:t>
                  </w:r>
                </w:p>
              </w:tc>
              <w:tc>
                <w:tcPr>
                  <w:tcW w:w="8482" w:type="dxa"/>
                  <w:vAlign w:val="center"/>
                </w:tcPr>
                <w:p w:rsidR="00EA0E34" w:rsidRPr="000C2285" w:rsidRDefault="00232169" w:rsidP="008A001F">
                  <w:pPr>
                    <w:framePr w:hSpace="141" w:wrap="around" w:vAnchor="page" w:hAnchor="margin" w:y="3586"/>
                    <w:spacing w:after="0"/>
                    <w:rPr>
                      <w:color w:val="595959" w:themeColor="text1" w:themeTint="A6"/>
                    </w:rPr>
                  </w:pPr>
                  <w:r>
                    <w:rPr>
                      <w:color w:val="595959" w:themeColor="text1" w:themeTint="A6"/>
                    </w:rPr>
                    <w:t xml:space="preserve">La </w:t>
                  </w:r>
                  <w:r w:rsidR="00C76CDD">
                    <w:rPr>
                      <w:color w:val="595959" w:themeColor="text1" w:themeTint="A6"/>
                    </w:rPr>
                    <w:t xml:space="preserve">prévisibilité de la rupture d’une relation commerciale établie ne prive pas celle-ci de son caractère brutale </w:t>
                  </w:r>
                </w:p>
              </w:tc>
            </w:tr>
            <w:tr w:rsidR="00EA0E34" w:rsidTr="00BC7C8E">
              <w:trPr>
                <w:trHeight w:val="183"/>
              </w:trPr>
              <w:tc>
                <w:tcPr>
                  <w:tcW w:w="0" w:type="auto"/>
                </w:tcPr>
                <w:p w:rsidR="00EA0E34" w:rsidRDefault="00EA0E34" w:rsidP="00232169">
                  <w:pPr>
                    <w:framePr w:hSpace="141" w:wrap="around" w:vAnchor="page" w:hAnchor="margin" w:y="3586"/>
                    <w:spacing w:after="0"/>
                    <w:ind w:left="483" w:hanging="483"/>
                    <w:jc w:val="left"/>
                    <w:rPr>
                      <w:color w:val="595959" w:themeColor="text1" w:themeTint="A6"/>
                      <w:spacing w:val="40"/>
                    </w:rPr>
                  </w:pPr>
                  <w:r>
                    <w:rPr>
                      <w:color w:val="595959" w:themeColor="text1" w:themeTint="A6"/>
                      <w:spacing w:val="40"/>
                    </w:rPr>
                    <w:t>4.</w:t>
                  </w:r>
                </w:p>
              </w:tc>
              <w:tc>
                <w:tcPr>
                  <w:tcW w:w="8482" w:type="dxa"/>
                </w:tcPr>
                <w:p w:rsidR="00EA0E34" w:rsidRDefault="00F55CF0" w:rsidP="00232169">
                  <w:pPr>
                    <w:framePr w:hSpace="141" w:wrap="around" w:vAnchor="page" w:hAnchor="margin" w:y="3586"/>
                    <w:spacing w:after="0"/>
                    <w:jc w:val="left"/>
                    <w:rPr>
                      <w:color w:val="595959" w:themeColor="text1" w:themeTint="A6"/>
                    </w:rPr>
                  </w:pPr>
                  <w:r>
                    <w:rPr>
                      <w:color w:val="595959" w:themeColor="text1" w:themeTint="A6"/>
                    </w:rPr>
                    <w:t xml:space="preserve">Pas de relation commerciale établie quand tout nouveau contrat est précédé d’un appel d’offre </w:t>
                  </w:r>
                </w:p>
              </w:tc>
            </w:tr>
            <w:tr w:rsidR="00EA0E34" w:rsidTr="00EA0E34">
              <w:tc>
                <w:tcPr>
                  <w:tcW w:w="0" w:type="auto"/>
                </w:tcPr>
                <w:p w:rsidR="00EA0E34" w:rsidRDefault="00113FB8" w:rsidP="00232169">
                  <w:pPr>
                    <w:framePr w:hSpace="141" w:wrap="around" w:vAnchor="page" w:hAnchor="margin" w:y="3586"/>
                    <w:spacing w:after="0"/>
                    <w:ind w:left="483" w:hanging="483"/>
                    <w:jc w:val="left"/>
                    <w:rPr>
                      <w:color w:val="595959" w:themeColor="text1" w:themeTint="A6"/>
                      <w:spacing w:val="40"/>
                    </w:rPr>
                  </w:pPr>
                  <w:r>
                    <w:rPr>
                      <w:color w:val="595959" w:themeColor="text1" w:themeTint="A6"/>
                      <w:spacing w:val="40"/>
                    </w:rPr>
                    <w:t>5</w:t>
                  </w:r>
                  <w:r w:rsidR="00EA0E34">
                    <w:rPr>
                      <w:color w:val="595959" w:themeColor="text1" w:themeTint="A6"/>
                      <w:spacing w:val="40"/>
                    </w:rPr>
                    <w:t>.</w:t>
                  </w:r>
                </w:p>
              </w:tc>
              <w:tc>
                <w:tcPr>
                  <w:tcW w:w="8482" w:type="dxa"/>
                  <w:vAlign w:val="center"/>
                </w:tcPr>
                <w:p w:rsidR="00EA0E34" w:rsidRDefault="00F55CF0" w:rsidP="00232169">
                  <w:pPr>
                    <w:framePr w:hSpace="141" w:wrap="around" w:vAnchor="page" w:hAnchor="margin" w:y="3586"/>
                    <w:spacing w:after="0"/>
                    <w:rPr>
                      <w:color w:val="595959" w:themeColor="text1" w:themeTint="A6"/>
                    </w:rPr>
                  </w:pPr>
                  <w:r>
                    <w:rPr>
                      <w:color w:val="595959" w:themeColor="text1" w:themeTint="A6"/>
                    </w:rPr>
                    <w:t>Perd le droit au renouvellement le locataire non immatriculée pour l’activité réellement exercée dans le local loué</w:t>
                  </w:r>
                </w:p>
              </w:tc>
            </w:tr>
          </w:tbl>
          <w:p w:rsidR="00EA0E34" w:rsidRPr="00AA766E" w:rsidRDefault="00EA0E34" w:rsidP="007F37CB">
            <w:pPr>
              <w:spacing w:before="240" w:after="0"/>
              <w:rPr>
                <w:spacing w:val="40"/>
              </w:rPr>
            </w:pPr>
          </w:p>
        </w:tc>
      </w:tr>
    </w:tbl>
    <w:p w:rsidR="00DA3FDD" w:rsidRDefault="00DA3FDD" w:rsidP="007F37CB">
      <w:pPr>
        <w:pStyle w:val="Paragraphedeliste"/>
        <w:spacing w:before="240" w:after="0"/>
        <w:ind w:left="1065" w:right="1984"/>
        <w:sectPr w:rsidR="00DA3FDD" w:rsidSect="009339A1">
          <w:headerReference w:type="default" r:id="rId8"/>
          <w:footerReference w:type="default" r:id="rId9"/>
          <w:headerReference w:type="first" r:id="rId10"/>
          <w:footerReference w:type="first" r:id="rId11"/>
          <w:pgSz w:w="11906" w:h="16838"/>
          <w:pgMar w:top="1417" w:right="1417" w:bottom="1417" w:left="1417" w:header="708" w:footer="708" w:gutter="0"/>
          <w:pgNumType w:fmt="numberInDash"/>
          <w:cols w:space="708"/>
          <w:titlePg/>
          <w:docGrid w:linePitch="360"/>
        </w:sectPr>
      </w:pPr>
    </w:p>
    <w:p w:rsidR="007F37CB" w:rsidRDefault="007F37CB" w:rsidP="007F37CB">
      <w:pPr>
        <w:tabs>
          <w:tab w:val="left" w:pos="8647"/>
        </w:tabs>
        <w:spacing w:after="0"/>
        <w:ind w:right="567"/>
        <w:rPr>
          <w:b/>
          <w:bCs/>
          <w:smallCaps/>
        </w:rPr>
      </w:pPr>
    </w:p>
    <w:p w:rsidR="00BD3C66" w:rsidRPr="004400E6" w:rsidRDefault="00BD3C66" w:rsidP="007F37CB">
      <w:pPr>
        <w:tabs>
          <w:tab w:val="left" w:pos="8647"/>
        </w:tabs>
        <w:spacing w:after="120"/>
        <w:ind w:right="567"/>
      </w:pPr>
      <w:r w:rsidRPr="004400E6">
        <w:t>Bonjour,</w:t>
      </w:r>
    </w:p>
    <w:p w:rsidR="00BD3C66" w:rsidRPr="004400E6" w:rsidRDefault="00BD3C66" w:rsidP="00BD3C66">
      <w:pPr>
        <w:tabs>
          <w:tab w:val="left" w:pos="8647"/>
        </w:tabs>
        <w:ind w:right="567"/>
      </w:pPr>
      <w:r w:rsidRPr="004400E6">
        <w:t xml:space="preserve">Nous sommes heureux de vous communiquer la newsletter </w:t>
      </w:r>
      <w:r w:rsidR="00113FB8">
        <w:t>Affaires / Commercial</w:t>
      </w:r>
      <w:r w:rsidRPr="004400E6">
        <w:t xml:space="preserve"> de la société d’avocats DLGA, revenant sur quelques points marquants de l’actualité juridique en ces matières. Nous vous en souhaitons bonne lecture. </w:t>
      </w:r>
    </w:p>
    <w:p w:rsidR="00EA0E34" w:rsidRDefault="00902BB1" w:rsidP="00984DAA">
      <w:pPr>
        <w:pStyle w:val="Titre1"/>
      </w:pPr>
      <w:r>
        <w:t>L</w:t>
      </w:r>
      <w:r w:rsidR="00D7539C">
        <w:t xml:space="preserve">’évaluation des droits sociaux d’un associé sortant : la jurisprudence </w:t>
      </w:r>
      <w:r w:rsidR="00616BC1">
        <w:t xml:space="preserve">est conforme à la Constitution </w:t>
      </w:r>
    </w:p>
    <w:p w:rsidR="002F4B7F" w:rsidRPr="003B7677" w:rsidRDefault="003B7677" w:rsidP="00ED3835">
      <w:r>
        <w:t>Le Conseil c</w:t>
      </w:r>
      <w:r w:rsidR="00E57304">
        <w:t xml:space="preserve">onstitutionnel s’est prononcé </w:t>
      </w:r>
      <w:r w:rsidR="00FE24BF">
        <w:t xml:space="preserve">sur </w:t>
      </w:r>
      <w:r w:rsidR="00E104D7">
        <w:t xml:space="preserve">l’interprétation constante </w:t>
      </w:r>
      <w:r w:rsidR="00BD6B6D">
        <w:t>d</w:t>
      </w:r>
      <w:r w:rsidR="00E104D7">
        <w:t xml:space="preserve">e l’article 1843-4 du Code civil dans sa rédaction résultant de la loi n° 78-9 du 4 janvier 1978 par la Cour de cassation. </w:t>
      </w:r>
      <w:r w:rsidR="002F4B7F">
        <w:t xml:space="preserve"> </w:t>
      </w:r>
      <w:r w:rsidR="00862130">
        <w:rPr>
          <w:color w:val="2B1212"/>
          <w:sz w:val="19"/>
          <w:szCs w:val="19"/>
          <w:shd w:val="clear" w:color="auto" w:fill="FFFFFF"/>
        </w:rPr>
        <w:t xml:space="preserve"> </w:t>
      </w:r>
      <w:r w:rsidR="002F4B7F">
        <w:t>Cet a</w:t>
      </w:r>
      <w:r w:rsidR="00E104D7">
        <w:t xml:space="preserve">rticle prévoyait que la valeur des droits sociaux d’un associé qui les cède, qui se retire ou qui est exclu de la société est, en cas de contestation, fixée par un expert désigné par accord des parties </w:t>
      </w:r>
      <w:r w:rsidR="00E104D7" w:rsidRPr="003B7677">
        <w:t xml:space="preserve">ou parle juge des référés.  </w:t>
      </w:r>
    </w:p>
    <w:p w:rsidR="00E104D7" w:rsidRPr="00862130" w:rsidRDefault="00E104D7" w:rsidP="00ED3835">
      <w:r w:rsidRPr="003B7677">
        <w:t>L’interprétation donnée p</w:t>
      </w:r>
      <w:r w:rsidR="003B7677" w:rsidRPr="003B7677">
        <w:t>ar la Cour de c</w:t>
      </w:r>
      <w:r w:rsidRPr="003B7677">
        <w:t>assation était</w:t>
      </w:r>
      <w:r w:rsidRPr="00862130">
        <w:t xml:space="preserve"> qu’en cas de retrait la date que doit retenir l’expert pour évaluer les droit sociaux est, non pas celle où l’associé a manifesté sa volonté de se </w:t>
      </w:r>
      <w:r w:rsidRPr="008A001F">
        <w:t>retirer, mais la date qui est la plus proche de celle du remboursement de la valeur des droit</w:t>
      </w:r>
      <w:r w:rsidR="00862130" w:rsidRPr="008A001F">
        <w:t>s sociaux (</w:t>
      </w:r>
      <w:proofErr w:type="spellStart"/>
      <w:r w:rsidR="00862130" w:rsidRPr="008A001F">
        <w:rPr>
          <w:color w:val="2B1212"/>
          <w:shd w:val="clear" w:color="auto" w:fill="FFFFFF"/>
        </w:rPr>
        <w:t>C</w:t>
      </w:r>
      <w:r w:rsidR="00B80682" w:rsidRPr="008A001F">
        <w:rPr>
          <w:color w:val="2B1212"/>
          <w:shd w:val="clear" w:color="auto" w:fill="FFFFFF"/>
        </w:rPr>
        <w:t>ass</w:t>
      </w:r>
      <w:proofErr w:type="spellEnd"/>
      <w:r w:rsidR="00B80682" w:rsidRPr="008A001F">
        <w:rPr>
          <w:color w:val="2B1212"/>
          <w:shd w:val="clear" w:color="auto" w:fill="FFFFFF"/>
        </w:rPr>
        <w:t xml:space="preserve">. </w:t>
      </w:r>
      <w:proofErr w:type="spellStart"/>
      <w:r w:rsidR="00B80682" w:rsidRPr="008A001F">
        <w:rPr>
          <w:color w:val="2B1212"/>
          <w:shd w:val="clear" w:color="auto" w:fill="FFFFFF"/>
        </w:rPr>
        <w:t>com</w:t>
      </w:r>
      <w:proofErr w:type="spellEnd"/>
      <w:r w:rsidR="00B80682" w:rsidRPr="008A001F">
        <w:rPr>
          <w:color w:val="2B1212"/>
          <w:shd w:val="clear" w:color="auto" w:fill="FFFFFF"/>
        </w:rPr>
        <w:t xml:space="preserve"> 4-05-2010 n° 08-20.693 ; </w:t>
      </w:r>
      <w:proofErr w:type="spellStart"/>
      <w:r w:rsidR="00B80682" w:rsidRPr="008A001F">
        <w:rPr>
          <w:color w:val="2B1212"/>
          <w:shd w:val="clear" w:color="auto" w:fill="FFFFFF"/>
        </w:rPr>
        <w:t>Cass</w:t>
      </w:r>
      <w:proofErr w:type="spellEnd"/>
      <w:r w:rsidR="00B80682" w:rsidRPr="008A001F">
        <w:rPr>
          <w:color w:val="2B1212"/>
          <w:shd w:val="clear" w:color="auto" w:fill="FFFFFF"/>
        </w:rPr>
        <w:t xml:space="preserve">. Com 15-01-2013 n° 12-11.666 ; </w:t>
      </w:r>
      <w:proofErr w:type="spellStart"/>
      <w:r w:rsidR="00B80682" w:rsidRPr="008A001F">
        <w:rPr>
          <w:color w:val="2B1212"/>
          <w:shd w:val="clear" w:color="auto" w:fill="FFFFFF"/>
        </w:rPr>
        <w:t>Cass</w:t>
      </w:r>
      <w:proofErr w:type="spellEnd"/>
      <w:r w:rsidR="00B80682" w:rsidRPr="008A001F">
        <w:rPr>
          <w:color w:val="2B1212"/>
          <w:shd w:val="clear" w:color="auto" w:fill="FFFFFF"/>
        </w:rPr>
        <w:t>. C</w:t>
      </w:r>
      <w:r w:rsidR="00862130" w:rsidRPr="008A001F">
        <w:rPr>
          <w:color w:val="2B1212"/>
          <w:shd w:val="clear" w:color="auto" w:fill="FFFFFF"/>
        </w:rPr>
        <w:t>om</w:t>
      </w:r>
      <w:r w:rsidR="00B80682" w:rsidRPr="008A001F">
        <w:rPr>
          <w:color w:val="2B1212"/>
          <w:shd w:val="clear" w:color="auto" w:fill="FFFFFF"/>
        </w:rPr>
        <w:t>. 16-09-</w:t>
      </w:r>
      <w:r w:rsidR="005C6F11" w:rsidRPr="008A001F">
        <w:rPr>
          <w:color w:val="2B1212"/>
          <w:shd w:val="clear" w:color="auto" w:fill="FFFFFF"/>
        </w:rPr>
        <w:t xml:space="preserve">2014 </w:t>
      </w:r>
      <w:r w:rsidR="00862130" w:rsidRPr="008A001F">
        <w:rPr>
          <w:color w:val="2B1212"/>
          <w:shd w:val="clear" w:color="auto" w:fill="FFFFFF"/>
        </w:rPr>
        <w:t>n° 13-17.807</w:t>
      </w:r>
      <w:r w:rsidR="00B80682" w:rsidRPr="008A001F">
        <w:rPr>
          <w:color w:val="2B1212"/>
          <w:shd w:val="clear" w:color="auto" w:fill="FFFFFF"/>
        </w:rPr>
        <w:t>)</w:t>
      </w:r>
      <w:r w:rsidR="00862130" w:rsidRPr="008A001F">
        <w:rPr>
          <w:color w:val="2B1212"/>
          <w:shd w:val="clear" w:color="auto" w:fill="FFFFFF"/>
        </w:rPr>
        <w:t>.</w:t>
      </w:r>
    </w:p>
    <w:p w:rsidR="00FE24BF" w:rsidRDefault="00FE24BF" w:rsidP="00ED3835">
      <w:r>
        <w:t xml:space="preserve">Cette </w:t>
      </w:r>
      <w:r w:rsidR="002F4B7F">
        <w:t xml:space="preserve">interprétation </w:t>
      </w:r>
      <w:r>
        <w:t>a été co</w:t>
      </w:r>
      <w:r w:rsidR="003B7677">
        <w:t>ntestée devant le Conseil c</w:t>
      </w:r>
      <w:r>
        <w:t xml:space="preserve">onstitutionnel par la voie d’une question prioritaire de constitutionnalité (QPC).  </w:t>
      </w:r>
      <w:r w:rsidR="002F4B7F" w:rsidRPr="00D2163C">
        <w:t xml:space="preserve">Selon le requérant, </w:t>
      </w:r>
      <w:r w:rsidRPr="00D2163C">
        <w:t>l’interprétation retenu</w:t>
      </w:r>
      <w:r w:rsidR="002F4B7F" w:rsidRPr="00D2163C">
        <w:t>e</w:t>
      </w:r>
      <w:r w:rsidRPr="00D2163C">
        <w:t xml:space="preserve"> </w:t>
      </w:r>
      <w:r w:rsidR="003B7677" w:rsidRPr="00D2163C">
        <w:t>par la Cour de c</w:t>
      </w:r>
      <w:r w:rsidR="002F4B7F" w:rsidRPr="00D2163C">
        <w:t>assation en ce qu’elle conduit à retenir comme date d’évaluation des droits sociaux non celle à laquelle l’associé les a cédés, s’est retiré ou</w:t>
      </w:r>
      <w:r w:rsidR="002F4B7F">
        <w:t xml:space="preserve"> a été exclu de la société mais celle qui est la plus proche du remboursement de la valeur de ces droits, porte atteinte au droit de propriété.  </w:t>
      </w:r>
      <w:r w:rsidR="00A232EA">
        <w:t xml:space="preserve">L’atteinte au droit de propriété résulterait du fait qu’entre </w:t>
      </w:r>
      <w:r w:rsidR="002F4B7F">
        <w:t xml:space="preserve">la décision de sortie de la société et la date retenu pour l’évaluation des droits sociaux, l’associé cédant, retrayant ou exclu, qui ne disposerait plus de ses droits de vote, pourrait se voir imposer une perte de valeur sur laquelle il n’aurait aucune prise.  </w:t>
      </w:r>
    </w:p>
    <w:p w:rsidR="00A232EA" w:rsidRDefault="00A232EA" w:rsidP="00ED3835">
      <w:r>
        <w:lastRenderedPageBreak/>
        <w:t xml:space="preserve">Le Conseil constitutionnel a jugé que l’interprétation retenue par la Cour de cassation ne méconnait pas le droit de propriété.  </w:t>
      </w:r>
      <w:r w:rsidR="00274403">
        <w:t xml:space="preserve">En premier lieu, </w:t>
      </w:r>
      <w:r>
        <w:t xml:space="preserve">parce qu’elle ne prévoit pas la possibilité d’exclure un associé ou de le forcer à céder ses titres ou à se retirer et se borne à déterminer la date d’évaluation de la valeur des droits sociaux.  </w:t>
      </w:r>
      <w:r w:rsidR="00274403">
        <w:t>En deuxième lieu,</w:t>
      </w:r>
      <w:r w:rsidR="00032BE3">
        <w:t xml:space="preserve"> </w:t>
      </w:r>
      <w:r>
        <w:t xml:space="preserve"> parce qu’</w:t>
      </w:r>
      <w:r w:rsidR="001B39F6">
        <w:t xml:space="preserve">entre la décision de sortie de la société et la date de remboursement des droits sociaux, </w:t>
      </w:r>
      <w:r>
        <w:t xml:space="preserve">l’associé conserve ses droits patrimoniaux et perçoit les dividendes de ses parts sociales. </w:t>
      </w:r>
      <w:r w:rsidR="00274403">
        <w:t xml:space="preserve"> En troisième lieu, parce que l’associé pourrait intenter une action en responsabilité contre ses anciens associés si la perte provisoire de valeur de la société résultait de manœuvres de leur part.  Enfin, le Conseil constitutionnel a estimé que </w:t>
      </w:r>
      <w:r w:rsidR="00E85B7D">
        <w:t xml:space="preserve">la jurisprudence critiquée permettait une juste évaluation de la valeur litigieuse des droits sociaux cédés.  </w:t>
      </w:r>
    </w:p>
    <w:p w:rsidR="00BD6B6D" w:rsidRPr="00E57304" w:rsidRDefault="00BD6B6D" w:rsidP="00ED3835">
      <w:pPr>
        <w:shd w:val="clear" w:color="auto" w:fill="FFFFFF"/>
        <w:spacing w:after="120" w:line="240" w:lineRule="auto"/>
        <w:rPr>
          <w:rFonts w:eastAsia="Times New Roman"/>
          <w:sz w:val="22"/>
          <w:szCs w:val="22"/>
          <w:lang w:eastAsia="fr-FR"/>
        </w:rPr>
      </w:pPr>
      <w:r>
        <w:rPr>
          <w:rFonts w:eastAsia="Times New Roman"/>
          <w:sz w:val="22"/>
          <w:szCs w:val="22"/>
          <w:lang w:eastAsia="fr-FR"/>
        </w:rPr>
        <w:t xml:space="preserve">Conseil </w:t>
      </w:r>
      <w:r w:rsidRPr="00E57304">
        <w:rPr>
          <w:rFonts w:eastAsia="Times New Roman"/>
          <w:sz w:val="22"/>
          <w:szCs w:val="22"/>
          <w:lang w:eastAsia="fr-FR"/>
        </w:rPr>
        <w:t>const</w:t>
      </w:r>
      <w:r>
        <w:rPr>
          <w:rFonts w:eastAsia="Times New Roman"/>
          <w:sz w:val="22"/>
          <w:szCs w:val="22"/>
          <w:lang w:eastAsia="fr-FR"/>
        </w:rPr>
        <w:t>itutionnel,</w:t>
      </w:r>
      <w:r w:rsidRPr="00E57304">
        <w:rPr>
          <w:rFonts w:eastAsia="Times New Roman"/>
          <w:sz w:val="22"/>
          <w:szCs w:val="22"/>
          <w:lang w:eastAsia="fr-FR"/>
        </w:rPr>
        <w:t xml:space="preserve"> QPC 16-9-2016 n</w:t>
      </w:r>
      <w:r w:rsidRPr="00E57304">
        <w:rPr>
          <w:rFonts w:eastAsia="Times New Roman"/>
          <w:sz w:val="15"/>
          <w:szCs w:val="15"/>
          <w:vertAlign w:val="superscript"/>
          <w:lang w:eastAsia="fr-FR"/>
        </w:rPr>
        <w:t>o</w:t>
      </w:r>
      <w:r>
        <w:rPr>
          <w:rFonts w:eastAsia="Times New Roman"/>
          <w:sz w:val="22"/>
          <w:szCs w:val="22"/>
          <w:lang w:eastAsia="fr-FR"/>
        </w:rPr>
        <w:t xml:space="preserve"> 2016-563, Publié au </w:t>
      </w:r>
      <w:r w:rsidRPr="00E57304">
        <w:rPr>
          <w:rFonts w:eastAsia="Times New Roman"/>
          <w:sz w:val="22"/>
          <w:szCs w:val="22"/>
          <w:lang w:eastAsia="fr-FR"/>
        </w:rPr>
        <w:t>JO du 18-9 texte n</w:t>
      </w:r>
      <w:r w:rsidRPr="00E57304">
        <w:rPr>
          <w:rFonts w:eastAsia="Times New Roman"/>
          <w:sz w:val="15"/>
          <w:szCs w:val="15"/>
          <w:vertAlign w:val="superscript"/>
          <w:lang w:eastAsia="fr-FR"/>
        </w:rPr>
        <w:t>o</w:t>
      </w:r>
      <w:r w:rsidRPr="00E57304">
        <w:rPr>
          <w:rFonts w:eastAsia="Times New Roman"/>
          <w:sz w:val="22"/>
          <w:szCs w:val="22"/>
          <w:lang w:eastAsia="fr-FR"/>
        </w:rPr>
        <w:t> 35</w:t>
      </w:r>
      <w:r>
        <w:rPr>
          <w:rFonts w:eastAsia="Times New Roman"/>
          <w:sz w:val="22"/>
          <w:szCs w:val="22"/>
          <w:lang w:eastAsia="fr-FR"/>
        </w:rPr>
        <w:t xml:space="preserve">. </w:t>
      </w:r>
    </w:p>
    <w:p w:rsidR="00E0741D" w:rsidRDefault="00E0741D" w:rsidP="00902BB1">
      <w:r w:rsidRPr="00E0741D">
        <w:t xml:space="preserve">La date que doit retenir l’expert </w:t>
      </w:r>
      <w:r w:rsidR="00902BB1">
        <w:t>chargé d’</w:t>
      </w:r>
      <w:r w:rsidRPr="00E0741D">
        <w:t xml:space="preserve">évaluer </w:t>
      </w:r>
      <w:r w:rsidR="00902BB1">
        <w:t xml:space="preserve">en cas de contestation </w:t>
      </w:r>
      <w:r w:rsidRPr="00E0741D">
        <w:t>les droit</w:t>
      </w:r>
      <w:r>
        <w:t>s</w:t>
      </w:r>
      <w:r w:rsidRPr="00E0741D">
        <w:t xml:space="preserve"> sociaux d’un associé sortant est la plus proche de celle du remboursement de la valeur des droits sociaux. </w:t>
      </w:r>
      <w:r w:rsidR="00902BB1">
        <w:t xml:space="preserve"> Cette obligation ne porte pas une atteinte disproportionnée au droit de propriété. </w:t>
      </w:r>
    </w:p>
    <w:p w:rsidR="00943354" w:rsidRDefault="00862130" w:rsidP="00ED3835">
      <w:r>
        <w:t>Les modifications qui ont été apportées à l’article 1843-4 du Code civil par l’ordonnance du 31 juillet 2014 relative au droit des sociétés ne remettent pas en cause la solution retenue par le Conseil</w:t>
      </w:r>
      <w:r w:rsidR="00E0741D">
        <w:t xml:space="preserve"> constitutionnel</w:t>
      </w:r>
      <w:r>
        <w:t>.  L</w:t>
      </w:r>
      <w:r w:rsidR="00A85161">
        <w:t xml:space="preserve">e I de l’article </w:t>
      </w:r>
      <w:r w:rsidR="00BD6B6D" w:rsidRPr="00902BB1">
        <w:t xml:space="preserve">modifié n’indique pas la date de l’évaluation des droits sociaux et confirme </w:t>
      </w:r>
      <w:r w:rsidR="00A85161" w:rsidRPr="00902BB1">
        <w:t>le recours à un expert pour fixer les conditions de prix d’une cession des droits sociaux d’un ass</w:t>
      </w:r>
      <w:r w:rsidR="00BD6B6D" w:rsidRPr="00902BB1">
        <w:t>ocié cédant, retrayant ou exclu.  Le nouvel article précise q</w:t>
      </w:r>
      <w:r w:rsidR="00943354" w:rsidRPr="00902BB1">
        <w:t>ue l’expert est tenu d’appliquer les éventuelles  règles et modalités de détermination de la valeur prévue par les statuts de la société ou par toute convention liant les parties.</w:t>
      </w:r>
      <w:r w:rsidR="00943354">
        <w:t xml:space="preserve"> </w:t>
      </w:r>
    </w:p>
    <w:p w:rsidR="00F6580C" w:rsidRDefault="00F6580C" w:rsidP="00ED3835">
      <w:pPr>
        <w:pStyle w:val="Titre1"/>
      </w:pPr>
      <w:r>
        <w:t>L’usufruitier de parts sociales n’a pas à être convoqué à toutes les assemblées</w:t>
      </w:r>
    </w:p>
    <w:p w:rsidR="00F50A76" w:rsidRPr="00ED3835" w:rsidRDefault="00F50A76" w:rsidP="00ED3835">
      <w:pPr>
        <w:shd w:val="clear" w:color="auto" w:fill="FFFFFF"/>
        <w:spacing w:after="160" w:line="300" w:lineRule="atLeast"/>
        <w:rPr>
          <w:rFonts w:eastAsia="Times New Roman"/>
          <w:iCs/>
          <w:lang w:eastAsia="fr-FR"/>
        </w:rPr>
      </w:pPr>
      <w:r w:rsidRPr="00ED3835">
        <w:rPr>
          <w:rFonts w:eastAsia="Times New Roman"/>
          <w:iCs/>
          <w:lang w:eastAsia="fr-FR"/>
        </w:rPr>
        <w:t>L’assemblée générale qui a pour objet des décisions collectives pour lesquelles le droit de vote appartient au nu-proprié</w:t>
      </w:r>
      <w:bookmarkStart w:id="0" w:name="_GoBack"/>
      <w:bookmarkEnd w:id="0"/>
      <w:r w:rsidRPr="00ED3835">
        <w:rPr>
          <w:rFonts w:eastAsia="Times New Roman"/>
          <w:iCs/>
          <w:lang w:eastAsia="fr-FR"/>
        </w:rPr>
        <w:t>taire ne peut pas être annulée au motif que l’usufruitier n’a pas été convoqué </w:t>
      </w:r>
      <w:r w:rsidR="008A001F">
        <w:rPr>
          <w:rFonts w:eastAsia="Times New Roman"/>
          <w:iCs/>
          <w:lang w:eastAsia="fr-FR"/>
        </w:rPr>
        <w:t xml:space="preserve">pour </w:t>
      </w:r>
      <w:r w:rsidRPr="00ED3835">
        <w:rPr>
          <w:rFonts w:eastAsia="Times New Roman"/>
          <w:iCs/>
          <w:lang w:eastAsia="fr-FR"/>
        </w:rPr>
        <w:t xml:space="preserve">y </w:t>
      </w:r>
      <w:r w:rsidR="008A001F">
        <w:rPr>
          <w:rFonts w:eastAsia="Times New Roman"/>
          <w:iCs/>
          <w:lang w:eastAsia="fr-FR"/>
        </w:rPr>
        <w:t xml:space="preserve">participer. </w:t>
      </w:r>
    </w:p>
    <w:p w:rsidR="00DF6F63" w:rsidRDefault="00902BB1" w:rsidP="00DF6F63">
      <w:pPr>
        <w:shd w:val="clear" w:color="auto" w:fill="FFFFFF"/>
        <w:spacing w:after="0" w:line="300" w:lineRule="atLeast"/>
        <w:rPr>
          <w:rFonts w:eastAsia="Times New Roman"/>
          <w:lang w:eastAsia="fr-FR"/>
        </w:rPr>
      </w:pPr>
      <w:r>
        <w:rPr>
          <w:rFonts w:eastAsia="Times New Roman"/>
          <w:lang w:eastAsia="fr-FR"/>
        </w:rPr>
        <w:t>En l’espèce, l</w:t>
      </w:r>
      <w:r w:rsidR="00F50A76" w:rsidRPr="00ED3835">
        <w:rPr>
          <w:rFonts w:eastAsia="Times New Roman"/>
          <w:lang w:eastAsia="fr-FR"/>
        </w:rPr>
        <w:t xml:space="preserve">e nu-propriétaire de parts sociales d’une société civile immobilière (SCI) avait agi en annulation de l’assemblée générale pour défaut de convocation </w:t>
      </w:r>
      <w:r w:rsidR="00F50A76" w:rsidRPr="00902BB1">
        <w:rPr>
          <w:rFonts w:eastAsia="Times New Roman"/>
          <w:lang w:eastAsia="fr-FR"/>
        </w:rPr>
        <w:t>de l’</w:t>
      </w:r>
      <w:r w:rsidR="00F50A76" w:rsidRPr="00902BB1">
        <w:rPr>
          <w:rFonts w:eastAsia="Times New Roman"/>
          <w:bCs/>
          <w:lang w:eastAsia="fr-FR"/>
        </w:rPr>
        <w:t>usufruitier</w:t>
      </w:r>
      <w:r w:rsidR="00F50A76" w:rsidRPr="00902BB1">
        <w:rPr>
          <w:rFonts w:eastAsia="Times New Roman"/>
          <w:lang w:eastAsia="fr-FR"/>
        </w:rPr>
        <w:t xml:space="preserve"> des parts.  Il </w:t>
      </w:r>
      <w:r w:rsidRPr="00902BB1">
        <w:rPr>
          <w:rFonts w:eastAsia="Times New Roman"/>
          <w:lang w:eastAsia="fr-FR"/>
        </w:rPr>
        <w:t>arguait</w:t>
      </w:r>
      <w:r w:rsidR="00F50A76" w:rsidRPr="00902BB1">
        <w:rPr>
          <w:rFonts w:eastAsia="Times New Roman"/>
          <w:lang w:eastAsia="fr-FR"/>
        </w:rPr>
        <w:t xml:space="preserve"> que le droit de vote ne se confond</w:t>
      </w:r>
      <w:r>
        <w:rPr>
          <w:rFonts w:eastAsia="Times New Roman"/>
          <w:lang w:eastAsia="fr-FR"/>
        </w:rPr>
        <w:t>ait</w:t>
      </w:r>
      <w:r w:rsidR="00F50A76" w:rsidRPr="00902BB1">
        <w:rPr>
          <w:rFonts w:eastAsia="Times New Roman"/>
          <w:lang w:eastAsia="fr-FR"/>
        </w:rPr>
        <w:t xml:space="preserve"> pas avec le droit de participer aux décisions</w:t>
      </w:r>
      <w:r w:rsidR="00F50A76" w:rsidRPr="00ED3835">
        <w:rPr>
          <w:rFonts w:eastAsia="Times New Roman"/>
          <w:lang w:eastAsia="fr-FR"/>
        </w:rPr>
        <w:t xml:space="preserve"> collectives d'une assemblée générale et que, si </w:t>
      </w:r>
      <w:r>
        <w:rPr>
          <w:rFonts w:eastAsia="Times New Roman"/>
          <w:lang w:eastAsia="fr-FR"/>
        </w:rPr>
        <w:t>la</w:t>
      </w:r>
      <w:r w:rsidR="00DF6F63">
        <w:rPr>
          <w:rFonts w:eastAsia="Times New Roman"/>
          <w:lang w:eastAsia="fr-FR"/>
        </w:rPr>
        <w:t xml:space="preserve"> qualité </w:t>
      </w:r>
      <w:r w:rsidR="00DF6F63" w:rsidRPr="008A001F">
        <w:rPr>
          <w:rFonts w:eastAsia="Times New Roman"/>
          <w:lang w:eastAsia="fr-FR"/>
        </w:rPr>
        <w:t>d'usufruitier empêch</w:t>
      </w:r>
      <w:r w:rsidR="008A001F" w:rsidRPr="008A001F">
        <w:rPr>
          <w:rFonts w:eastAsia="Times New Roman"/>
          <w:lang w:eastAsia="fr-FR"/>
        </w:rPr>
        <w:t>ait</w:t>
      </w:r>
      <w:r w:rsidR="00F50A76" w:rsidRPr="00ED3835">
        <w:rPr>
          <w:rFonts w:eastAsia="Times New Roman"/>
          <w:lang w:eastAsia="fr-FR"/>
        </w:rPr>
        <w:t xml:space="preserve"> de prendre part aux votes relatifs à la vente de l'immeuble objet de la SCI, cette qualité d'usufruitier ne saurait exclure le droit qu'</w:t>
      </w:r>
      <w:proofErr w:type="spellStart"/>
      <w:r w:rsidR="00F50A76" w:rsidRPr="00ED3835">
        <w:rPr>
          <w:rFonts w:eastAsia="Times New Roman"/>
          <w:lang w:eastAsia="fr-FR"/>
        </w:rPr>
        <w:t>a</w:t>
      </w:r>
      <w:proofErr w:type="spellEnd"/>
      <w:r w:rsidR="00F50A76" w:rsidRPr="00ED3835">
        <w:rPr>
          <w:rFonts w:eastAsia="Times New Roman"/>
          <w:lang w:eastAsia="fr-FR"/>
        </w:rPr>
        <w:t xml:space="preserve"> l'usufruitier de participer aux décisions collectives.</w:t>
      </w:r>
      <w:r w:rsidR="00B03BAF" w:rsidRPr="00ED3835">
        <w:rPr>
          <w:rFonts w:eastAsia="Times New Roman"/>
          <w:lang w:eastAsia="fr-FR"/>
        </w:rPr>
        <w:t xml:space="preserve">  Le requérant affirmait ainsi qu’en ne prononçant pas la nullité de la délibération prise lors de l’assemblée générale, la cour d’appel avait violé l’article 1844 du Code civil. </w:t>
      </w:r>
    </w:p>
    <w:p w:rsidR="00DF6F63" w:rsidRDefault="00DF6F63" w:rsidP="00DF6F63">
      <w:pPr>
        <w:shd w:val="clear" w:color="auto" w:fill="FFFFFF"/>
        <w:spacing w:after="0" w:line="300" w:lineRule="atLeast"/>
        <w:rPr>
          <w:rFonts w:eastAsia="Times New Roman"/>
          <w:lang w:eastAsia="fr-FR"/>
        </w:rPr>
      </w:pPr>
    </w:p>
    <w:p w:rsidR="00B03BAF" w:rsidRPr="00032BE3" w:rsidRDefault="00B03BAF" w:rsidP="00DF6F63">
      <w:pPr>
        <w:shd w:val="clear" w:color="auto" w:fill="FFFFFF"/>
        <w:spacing w:after="0" w:line="300" w:lineRule="atLeast"/>
        <w:rPr>
          <w:rFonts w:eastAsia="Times New Roman"/>
          <w:lang w:eastAsia="fr-FR"/>
        </w:rPr>
      </w:pPr>
      <w:r w:rsidRPr="00032BE3">
        <w:rPr>
          <w:rFonts w:eastAsia="Times New Roman"/>
          <w:lang w:eastAsia="fr-FR"/>
        </w:rPr>
        <w:t xml:space="preserve">La Cour de cassation a rejeté le pourvoir du requérant.  Elle a jugé que l'assemblée générale litigieuse ayant pour objet des décisions collectives autres que celles qui concernent l'affectation </w:t>
      </w:r>
      <w:r w:rsidRPr="00032BE3">
        <w:rPr>
          <w:rFonts w:eastAsia="Times New Roman"/>
          <w:lang w:eastAsia="fr-FR"/>
        </w:rPr>
        <w:lastRenderedPageBreak/>
        <w:t xml:space="preserve">des bénéfices, ne saurait être annulée au motif que l’usufruitier des parts sociales, n'avait pas été convoquée pour y participer. </w:t>
      </w:r>
    </w:p>
    <w:p w:rsidR="00DF6F63" w:rsidRPr="00ED3835" w:rsidRDefault="00DF6F63" w:rsidP="00DF6F63">
      <w:pPr>
        <w:shd w:val="clear" w:color="auto" w:fill="FFFFFF"/>
        <w:spacing w:after="0" w:line="300" w:lineRule="atLeast"/>
        <w:rPr>
          <w:rFonts w:eastAsia="Times New Roman"/>
          <w:lang w:eastAsia="fr-FR"/>
        </w:rPr>
      </w:pPr>
    </w:p>
    <w:p w:rsidR="00B03BAF" w:rsidRPr="00ED3835" w:rsidRDefault="00B03BAF" w:rsidP="00ED3835">
      <w:r w:rsidRPr="00ED3835">
        <w:t>C</w:t>
      </w:r>
      <w:r w:rsidR="00705756">
        <w:t>our de c</w:t>
      </w:r>
      <w:r w:rsidRPr="00ED3835">
        <w:t>ass</w:t>
      </w:r>
      <w:r w:rsidR="009024B1">
        <w:t>ation</w:t>
      </w:r>
      <w:r w:rsidR="00705756">
        <w:t xml:space="preserve">, 3éme chambre civile, </w:t>
      </w:r>
      <w:r w:rsidRPr="00ED3835">
        <w:t>15 septembre 2016 n° 15-15.172 (n° 939 FS-PB)</w:t>
      </w:r>
      <w:r w:rsidR="00DF6F63">
        <w:t xml:space="preserve">. </w:t>
      </w:r>
    </w:p>
    <w:p w:rsidR="008615B3" w:rsidRDefault="00C76CDD" w:rsidP="001E2C4D">
      <w:pPr>
        <w:shd w:val="clear" w:color="auto" w:fill="FFFFFF"/>
        <w:spacing w:after="160" w:line="300" w:lineRule="atLeast"/>
        <w:rPr>
          <w:rFonts w:eastAsia="Times New Roman"/>
          <w:lang w:eastAsia="fr-FR"/>
        </w:rPr>
      </w:pPr>
      <w:r>
        <w:rPr>
          <w:rFonts w:eastAsia="Times New Roman"/>
          <w:lang w:eastAsia="fr-FR"/>
        </w:rPr>
        <w:t>Dans cette décision, i</w:t>
      </w:r>
      <w:r w:rsidR="008615B3">
        <w:rPr>
          <w:rFonts w:eastAsia="Times New Roman"/>
          <w:lang w:eastAsia="fr-FR"/>
        </w:rPr>
        <w:t>l semble que la haute juridiction a implicitement dénié l</w:t>
      </w:r>
      <w:r w:rsidR="001E2C4D" w:rsidRPr="00ED3835">
        <w:rPr>
          <w:rFonts w:eastAsia="Times New Roman"/>
          <w:lang w:eastAsia="fr-FR"/>
        </w:rPr>
        <w:t xml:space="preserve">a </w:t>
      </w:r>
      <w:r w:rsidR="008615B3">
        <w:rPr>
          <w:rFonts w:eastAsia="Times New Roman"/>
          <w:lang w:eastAsia="fr-FR"/>
        </w:rPr>
        <w:t xml:space="preserve">qualité d’associé de l’usufruitier de parts sociales.  </w:t>
      </w:r>
    </w:p>
    <w:p w:rsidR="001E2C4D" w:rsidRDefault="001E2C4D" w:rsidP="001E2C4D">
      <w:pPr>
        <w:shd w:val="clear" w:color="auto" w:fill="FFFFFF"/>
        <w:spacing w:after="160" w:line="300" w:lineRule="atLeast"/>
        <w:rPr>
          <w:rFonts w:eastAsia="Times New Roman"/>
          <w:lang w:eastAsia="fr-FR"/>
        </w:rPr>
      </w:pPr>
      <w:r w:rsidRPr="00ED3835">
        <w:rPr>
          <w:rFonts w:eastAsia="Times New Roman"/>
          <w:lang w:eastAsia="fr-FR"/>
        </w:rPr>
        <w:t>Cette décision rendue en matière de socié</w:t>
      </w:r>
      <w:r>
        <w:rPr>
          <w:rFonts w:eastAsia="Times New Roman"/>
          <w:lang w:eastAsia="fr-FR"/>
        </w:rPr>
        <w:t xml:space="preserve">té civile </w:t>
      </w:r>
      <w:r w:rsidRPr="00ED3835">
        <w:rPr>
          <w:rFonts w:eastAsia="Times New Roman"/>
          <w:lang w:eastAsia="fr-FR"/>
        </w:rPr>
        <w:t xml:space="preserve">est transposable aux sociétés commerciales.  </w:t>
      </w:r>
    </w:p>
    <w:p w:rsidR="00113FB8" w:rsidRDefault="006C010B" w:rsidP="00C76CDD">
      <w:pPr>
        <w:pStyle w:val="Titre1"/>
      </w:pPr>
      <w:r>
        <w:t>La prévisibilité de la rupture d’une relation commerciale établie ne prive pas celle-ci de son caractère brutale</w:t>
      </w:r>
      <w:r w:rsidR="00C76CDD" w:rsidRPr="00C76CDD">
        <w:t xml:space="preserve"> </w:t>
      </w:r>
    </w:p>
    <w:p w:rsidR="0002377F" w:rsidRDefault="0002377F" w:rsidP="00ED3835">
      <w:r>
        <w:t xml:space="preserve">Même si la rupture de relations commerciales établies est prévisible, elle peut être brutale </w:t>
      </w:r>
      <w:r w:rsidR="00C76CDD">
        <w:t xml:space="preserve">si </w:t>
      </w:r>
      <w:r w:rsidR="00032BE3">
        <w:t>la volonté de rompre</w:t>
      </w:r>
      <w:r w:rsidR="00C76CDD">
        <w:t xml:space="preserve"> ne s’est pas manifesté expressément. </w:t>
      </w:r>
    </w:p>
    <w:p w:rsidR="00B13D83" w:rsidRDefault="00B13D83" w:rsidP="00ED3835">
      <w:r>
        <w:t xml:space="preserve">En l’espèce, un importateur qui s’approvisionnait d’une centrale d’achats depuis 2003 avait cessé ses commandes en 2010.  La centrale d’achats, </w:t>
      </w:r>
      <w:r w:rsidRPr="00B13D83">
        <w:t>s'estimant victime de la rupture brutale d'une relation commerciale établie, a assigné l</w:t>
      </w:r>
      <w:r>
        <w:t xml:space="preserve">’importateur </w:t>
      </w:r>
      <w:r w:rsidRPr="00B13D83">
        <w:t>en réparation de son préjudice</w:t>
      </w:r>
      <w:r>
        <w:t xml:space="preserve"> sur le fondement de l’article L 442-6, I-5 du Code de commerce.  L’importateur soutenait que la rupture était prévisible depuis deux ans et qu’elle ne pouvait pas être brutale.  Il estimait que l</w:t>
      </w:r>
      <w:r w:rsidRPr="00B13D83">
        <w:t>a prévisibilité de la rupture</w:t>
      </w:r>
      <w:r>
        <w:t xml:space="preserve"> </w:t>
      </w:r>
      <w:r w:rsidR="00BC4688">
        <w:t xml:space="preserve">était établie </w:t>
      </w:r>
      <w:r w:rsidRPr="00B13D83">
        <w:t>p</w:t>
      </w:r>
      <w:r w:rsidR="00BC4688">
        <w:t>ar l'échange de deux correspondances : par le courriel en date du 8 janvier</w:t>
      </w:r>
      <w:r>
        <w:t xml:space="preserve"> 2008 </w:t>
      </w:r>
      <w:r w:rsidRPr="00B13D83">
        <w:t xml:space="preserve">par lequel le dirigeant de la </w:t>
      </w:r>
      <w:r w:rsidR="00BC4688">
        <w:t xml:space="preserve">centrale d’achats </w:t>
      </w:r>
      <w:r w:rsidRPr="00B13D83">
        <w:t>faisait part au dirigeant de l</w:t>
      </w:r>
      <w:r w:rsidR="00BC4688">
        <w:t xml:space="preserve">’importateur </w:t>
      </w:r>
      <w:r w:rsidRPr="00B13D83">
        <w:t xml:space="preserve">de ce qu'il avait appris avec un peu de tristesse </w:t>
      </w:r>
      <w:r w:rsidR="00BC4688">
        <w:t>sa décision de les quitter,</w:t>
      </w:r>
      <w:r w:rsidRPr="00B13D83">
        <w:t xml:space="preserve"> et par la télécopie du 14 février 2008 par laquelle le dirigeant de la </w:t>
      </w:r>
      <w:r w:rsidR="00BC4688">
        <w:t xml:space="preserve">centrale d’achat </w:t>
      </w:r>
      <w:r w:rsidRPr="00B13D83">
        <w:t>précisait au dirigeant de l</w:t>
      </w:r>
      <w:r w:rsidR="00BC4688">
        <w:t xml:space="preserve">’importateur </w:t>
      </w:r>
      <w:r w:rsidRPr="00B13D83">
        <w:t>qu'il n'avait d'autre choix que de s'orie</w:t>
      </w:r>
      <w:r w:rsidR="00BC4688">
        <w:t xml:space="preserve">nter vers d'autres partenaires.  </w:t>
      </w:r>
    </w:p>
    <w:p w:rsidR="00BC4688" w:rsidRDefault="00BC4688" w:rsidP="00ED3835">
      <w:r>
        <w:t xml:space="preserve">Les arguments de l’importateur ont été rejetés et sa responsabilité a été reconnue dès lors que l’importateur a cessé ses approvisionnements auprès de la centrale d’achat du jour au lendemain, sans lui adresser ni lettre de rupture, ni préavis écrit. </w:t>
      </w:r>
    </w:p>
    <w:p w:rsidR="004C6205" w:rsidRPr="00032BE3" w:rsidRDefault="00BC4688" w:rsidP="00ED3835">
      <w:r w:rsidRPr="00032BE3">
        <w:t xml:space="preserve">La Cour de cassation a </w:t>
      </w:r>
      <w:r w:rsidR="00032BE3" w:rsidRPr="00032BE3">
        <w:t>estimait que</w:t>
      </w:r>
      <w:r w:rsidRPr="00032BE3">
        <w:t xml:space="preserve"> le caractère prévisible de la rupture d'une relation commerciale établie ne prive pas celle-ci de son caractère brutal si elle ne résulte pas d'un acte du partenaire manifestant son intention de ne pas poursuivre la relation commerciale et faisant courir un délai de préavis.  </w:t>
      </w:r>
    </w:p>
    <w:p w:rsidR="004C6205" w:rsidRDefault="00016D6B" w:rsidP="00ED3835">
      <w:pPr>
        <w:rPr>
          <w:rStyle w:val="txtbold"/>
          <w:bCs/>
          <w:bdr w:val="none" w:sz="0" w:space="0" w:color="auto" w:frame="1"/>
          <w:shd w:val="clear" w:color="auto" w:fill="FFFFFF"/>
        </w:rPr>
      </w:pPr>
      <w:r w:rsidRPr="004C6205">
        <w:rPr>
          <w:rStyle w:val="txtbold"/>
          <w:bCs/>
          <w:bdr w:val="none" w:sz="0" w:space="0" w:color="auto" w:frame="1"/>
          <w:shd w:val="clear" w:color="auto" w:fill="FFFFFF"/>
        </w:rPr>
        <w:t>C</w:t>
      </w:r>
      <w:r w:rsidR="00F55CF0">
        <w:rPr>
          <w:rStyle w:val="txtbold"/>
          <w:bCs/>
          <w:bdr w:val="none" w:sz="0" w:space="0" w:color="auto" w:frame="1"/>
          <w:shd w:val="clear" w:color="auto" w:fill="FFFFFF"/>
        </w:rPr>
        <w:t>our de cassation, Chambre commerciale,</w:t>
      </w:r>
      <w:r w:rsidRPr="004C6205">
        <w:rPr>
          <w:rStyle w:val="txtbold"/>
          <w:bCs/>
          <w:bdr w:val="none" w:sz="0" w:space="0" w:color="auto" w:frame="1"/>
          <w:shd w:val="clear" w:color="auto" w:fill="FFFFFF"/>
        </w:rPr>
        <w:t xml:space="preserve"> 6 septembre 2016 n° 14-25.</w:t>
      </w:r>
      <w:r w:rsidR="004C6205" w:rsidRPr="004C6205">
        <w:rPr>
          <w:rStyle w:val="txtbold"/>
          <w:bCs/>
          <w:bdr w:val="none" w:sz="0" w:space="0" w:color="auto" w:frame="1"/>
          <w:shd w:val="clear" w:color="auto" w:fill="FFFFFF"/>
        </w:rPr>
        <w:t>891 (n° 715 FS-PBI)</w:t>
      </w:r>
      <w:r w:rsidR="00F55CF0">
        <w:rPr>
          <w:rStyle w:val="txtbold"/>
          <w:bCs/>
          <w:bdr w:val="none" w:sz="0" w:space="0" w:color="auto" w:frame="1"/>
          <w:shd w:val="clear" w:color="auto" w:fill="FFFFFF"/>
        </w:rPr>
        <w:t xml:space="preserve">. </w:t>
      </w:r>
    </w:p>
    <w:p w:rsidR="00232169" w:rsidRDefault="00232169" w:rsidP="00ED3835">
      <w:pPr>
        <w:rPr>
          <w:rStyle w:val="txtbold"/>
          <w:bCs/>
          <w:highlight w:val="yellow"/>
          <w:bdr w:val="none" w:sz="0" w:space="0" w:color="auto" w:frame="1"/>
          <w:shd w:val="clear" w:color="auto" w:fill="FFFFFF"/>
        </w:rPr>
      </w:pPr>
      <w:r w:rsidRPr="00232169">
        <w:rPr>
          <w:rStyle w:val="txtbold"/>
          <w:bCs/>
          <w:bdr w:val="none" w:sz="0" w:space="0" w:color="auto" w:frame="1"/>
          <w:shd w:val="clear" w:color="auto" w:fill="FFFFFF"/>
        </w:rPr>
        <w:lastRenderedPageBreak/>
        <w:t>Engage la responsabilité de son auteur et l’oblige à réparer le préjudice causé le fait de rompre brutalement, même partiellement, une relation commerciale établie sans préavis écrit tenant compte de la durée minimale de préavis déterminée, en référence aux usages du commerce (C. com. art. L 442-6, I-5o).</w:t>
      </w:r>
    </w:p>
    <w:p w:rsidR="004C6205" w:rsidRPr="004C6205" w:rsidRDefault="00232169" w:rsidP="00ED3835">
      <w:pPr>
        <w:rPr>
          <w:rStyle w:val="txtbold"/>
          <w:bCs/>
          <w:bdr w:val="none" w:sz="0" w:space="0" w:color="auto" w:frame="1"/>
          <w:shd w:val="clear" w:color="auto" w:fill="FFFFFF"/>
        </w:rPr>
      </w:pPr>
      <w:r w:rsidRPr="0037500B">
        <w:rPr>
          <w:rStyle w:val="txtbold"/>
          <w:bCs/>
          <w:bdr w:val="none" w:sz="0" w:space="0" w:color="auto" w:frame="1"/>
          <w:shd w:val="clear" w:color="auto" w:fill="FFFFFF"/>
        </w:rPr>
        <w:t xml:space="preserve">La prévisibilité d’une rupture d’une relation commerciale établie, qui n’aurait pas été formalisée par écrit par son auteur ni </w:t>
      </w:r>
      <w:r w:rsidR="006C010B">
        <w:rPr>
          <w:rStyle w:val="txtbold"/>
          <w:bCs/>
          <w:bdr w:val="none" w:sz="0" w:space="0" w:color="auto" w:frame="1"/>
          <w:shd w:val="clear" w:color="auto" w:fill="FFFFFF"/>
        </w:rPr>
        <w:t xml:space="preserve">faisant courir un délai </w:t>
      </w:r>
      <w:r w:rsidRPr="0037500B">
        <w:rPr>
          <w:rStyle w:val="txtbold"/>
          <w:bCs/>
          <w:bdr w:val="none" w:sz="0" w:space="0" w:color="auto" w:frame="1"/>
          <w:shd w:val="clear" w:color="auto" w:fill="FFFFFF"/>
        </w:rPr>
        <w:t xml:space="preserve">précis, ne saurait suffire à écarter la responsabilité de l’auteur de cette rupture.  </w:t>
      </w:r>
    </w:p>
    <w:p w:rsidR="00EA0E34" w:rsidRDefault="004C6205" w:rsidP="00ED3835">
      <w:pPr>
        <w:pStyle w:val="Titre1"/>
      </w:pPr>
      <w:r>
        <w:t>Pas de</w:t>
      </w:r>
      <w:r w:rsidR="00B359AA">
        <w:t xml:space="preserve"> </w:t>
      </w:r>
      <w:r>
        <w:t xml:space="preserve">relation commerciale établie quand tout nouveau contrat est précédé d’un appel d’offre </w:t>
      </w:r>
    </w:p>
    <w:p w:rsidR="004C6205" w:rsidRPr="00741D4D" w:rsidRDefault="00AB2239" w:rsidP="00ED3835">
      <w:r w:rsidRPr="00741D4D">
        <w:t>L</w:t>
      </w:r>
      <w:r w:rsidR="004C6205" w:rsidRPr="00741D4D">
        <w:t>e cocontractant d’une entreprise qui organise une procédure d’appel d’offres pour le renouvellement des contrats place celle-ci dans u</w:t>
      </w:r>
      <w:r w:rsidR="00ED3835">
        <w:t>ne perspective de précarité des</w:t>
      </w:r>
      <w:r w:rsidR="00784CAE">
        <w:t xml:space="preserve"> </w:t>
      </w:r>
      <w:r w:rsidR="004C6205" w:rsidRPr="00741D4D">
        <w:t>relations commerciales lui interdisant d’invoquer la rupture brutale d’une relation établie.</w:t>
      </w:r>
    </w:p>
    <w:p w:rsidR="0052787B" w:rsidRPr="00741D4D" w:rsidRDefault="00784CAE" w:rsidP="00ED3835">
      <w:r>
        <w:t>En l’espèce, u</w:t>
      </w:r>
      <w:r w:rsidR="00816653" w:rsidRPr="00741D4D">
        <w:t xml:space="preserve">ne </w:t>
      </w:r>
      <w:r w:rsidR="0052787B" w:rsidRPr="00741D4D">
        <w:t>en</w:t>
      </w:r>
      <w:r w:rsidR="00816653" w:rsidRPr="00741D4D">
        <w:t>treprise de nettoyage revendiquait</w:t>
      </w:r>
      <w:r w:rsidR="0052787B" w:rsidRPr="00741D4D">
        <w:t xml:space="preserve"> le caractère établi de la relati</w:t>
      </w:r>
      <w:r w:rsidR="00816653" w:rsidRPr="00741D4D">
        <w:t xml:space="preserve">on commerciale entre elle et une </w:t>
      </w:r>
      <w:r w:rsidR="0052787B" w:rsidRPr="00741D4D">
        <w:t>société au sens de l’article L 442-6-1-5 du Code de commerce, en ce qu’elle avait exécuté des prestations de nettoyage et d’entretien pour le compte des agences et du siège sociale de la société de manière inint</w:t>
      </w:r>
      <w:r w:rsidR="0002377F">
        <w:t xml:space="preserve">errompue depuis 1977. </w:t>
      </w:r>
      <w:r w:rsidR="0052787B" w:rsidRPr="00741D4D">
        <w:t xml:space="preserve"> Elle estimait que la circonstance que deux appels d’offre on</w:t>
      </w:r>
      <w:r w:rsidR="00816653" w:rsidRPr="00741D4D">
        <w:t>t été émis durant ces 35 ans était</w:t>
      </w:r>
      <w:r w:rsidR="0052787B" w:rsidRPr="00741D4D">
        <w:t xml:space="preserve"> insuffisante à qualifier la relation com</w:t>
      </w:r>
      <w:r w:rsidR="0002377F">
        <w:t xml:space="preserve">merciale de précaire et ne pouvait </w:t>
      </w:r>
      <w:r w:rsidR="0052787B" w:rsidRPr="00741D4D">
        <w:t xml:space="preserve">remettre en cause son caractère établi. </w:t>
      </w:r>
      <w:r w:rsidR="00816653" w:rsidRPr="00741D4D">
        <w:t xml:space="preserve"> </w:t>
      </w:r>
    </w:p>
    <w:p w:rsidR="0052787B" w:rsidRPr="0002377F" w:rsidRDefault="0002377F" w:rsidP="00ED3835">
      <w:pPr>
        <w:rPr>
          <w:rStyle w:val="txt"/>
          <w:bdr w:val="none" w:sz="0" w:space="0" w:color="auto" w:frame="1"/>
          <w:shd w:val="clear" w:color="auto" w:fill="FFFFFF"/>
        </w:rPr>
      </w:pPr>
      <w:r>
        <w:rPr>
          <w:rStyle w:val="txt"/>
          <w:bdr w:val="none" w:sz="0" w:space="0" w:color="auto" w:frame="1"/>
          <w:shd w:val="clear" w:color="auto" w:fill="FFFFFF"/>
        </w:rPr>
        <w:t>L</w:t>
      </w:r>
      <w:r w:rsidR="00741D4D" w:rsidRPr="00741D4D">
        <w:rPr>
          <w:rStyle w:val="txt"/>
          <w:bdr w:val="none" w:sz="0" w:space="0" w:color="auto" w:frame="1"/>
          <w:shd w:val="clear" w:color="auto" w:fill="FFFFFF"/>
        </w:rPr>
        <w:t>a c</w:t>
      </w:r>
      <w:r w:rsidR="00816653" w:rsidRPr="00741D4D">
        <w:rPr>
          <w:rStyle w:val="txt"/>
          <w:bdr w:val="none" w:sz="0" w:space="0" w:color="auto" w:frame="1"/>
          <w:shd w:val="clear" w:color="auto" w:fill="FFFFFF"/>
        </w:rPr>
        <w:t xml:space="preserve">our </w:t>
      </w:r>
      <w:r w:rsidR="00741D4D" w:rsidRPr="00741D4D">
        <w:rPr>
          <w:rStyle w:val="txt"/>
          <w:bdr w:val="none" w:sz="0" w:space="0" w:color="auto" w:frame="1"/>
          <w:shd w:val="clear" w:color="auto" w:fill="FFFFFF"/>
        </w:rPr>
        <w:t xml:space="preserve">d’appel </w:t>
      </w:r>
      <w:r w:rsidR="00816653" w:rsidRPr="00741D4D">
        <w:rPr>
          <w:rStyle w:val="txt"/>
          <w:bdr w:val="none" w:sz="0" w:space="0" w:color="auto" w:frame="1"/>
          <w:shd w:val="clear" w:color="auto" w:fill="FFFFFF"/>
        </w:rPr>
        <w:t xml:space="preserve">a considéré </w:t>
      </w:r>
      <w:r>
        <w:rPr>
          <w:rStyle w:val="txt"/>
          <w:bdr w:val="none" w:sz="0" w:space="0" w:color="auto" w:frame="1"/>
          <w:shd w:val="clear" w:color="auto" w:fill="FFFFFF"/>
        </w:rPr>
        <w:t xml:space="preserve">en premier lieu, </w:t>
      </w:r>
      <w:r w:rsidR="00816653" w:rsidRPr="00741D4D">
        <w:rPr>
          <w:rStyle w:val="txt"/>
          <w:bdr w:val="none" w:sz="0" w:space="0" w:color="auto" w:frame="1"/>
          <w:shd w:val="clear" w:color="auto" w:fill="FFFFFF"/>
        </w:rPr>
        <w:t xml:space="preserve">que la mise en compétition de concurrents avant toute attribution des marchés ne pouvait laisser augurer l’entreprise de nettoyage que la relation commerciale avait vocation à perdurer. </w:t>
      </w:r>
      <w:r w:rsidR="00816653" w:rsidRPr="00741D4D">
        <w:rPr>
          <w:rStyle w:val="txt"/>
          <w:color w:val="auto"/>
          <w:bdr w:val="none" w:sz="0" w:space="0" w:color="auto" w:frame="1"/>
          <w:shd w:val="clear" w:color="auto" w:fill="FFFFFF"/>
        </w:rPr>
        <w:t>En deuxième lieu, q</w:t>
      </w:r>
      <w:r w:rsidR="0052787B" w:rsidRPr="00741D4D">
        <w:rPr>
          <w:rStyle w:val="txt"/>
          <w:color w:val="auto"/>
          <w:bdr w:val="none" w:sz="0" w:space="0" w:color="auto" w:frame="1"/>
          <w:shd w:val="clear" w:color="auto" w:fill="FFFFFF"/>
        </w:rPr>
        <w:t>u’en répondant à l’appel d’offres en 2011, l’entreprise de nettoyage pouvait s’attendre à ne pas voir son contrat renouvelé si sa proposition ne constituait pas la meilleur</w:t>
      </w:r>
      <w:r w:rsidR="00816653" w:rsidRPr="00741D4D">
        <w:rPr>
          <w:rStyle w:val="txt"/>
          <w:color w:val="auto"/>
          <w:bdr w:val="none" w:sz="0" w:space="0" w:color="auto" w:frame="1"/>
          <w:shd w:val="clear" w:color="auto" w:fill="FFFFFF"/>
        </w:rPr>
        <w:t>e</w:t>
      </w:r>
      <w:r w:rsidR="0052787B" w:rsidRPr="00741D4D">
        <w:rPr>
          <w:rStyle w:val="txt"/>
          <w:color w:val="auto"/>
          <w:bdr w:val="none" w:sz="0" w:space="0" w:color="auto" w:frame="1"/>
          <w:shd w:val="clear" w:color="auto" w:fill="FFFFFF"/>
        </w:rPr>
        <w:t xml:space="preserve"> offre.  </w:t>
      </w:r>
      <w:r w:rsidR="00741D4D" w:rsidRPr="00741D4D">
        <w:rPr>
          <w:rStyle w:val="txt"/>
          <w:color w:val="auto"/>
          <w:bdr w:val="none" w:sz="0" w:space="0" w:color="auto" w:frame="1"/>
          <w:shd w:val="clear" w:color="auto" w:fill="FFFFFF"/>
        </w:rPr>
        <w:t>En troisième lieu, q</w:t>
      </w:r>
      <w:r w:rsidR="0052787B" w:rsidRPr="00741D4D">
        <w:rPr>
          <w:rStyle w:val="txt"/>
          <w:color w:val="auto"/>
          <w:bdr w:val="none" w:sz="0" w:space="0" w:color="auto" w:frame="1"/>
          <w:shd w:val="clear" w:color="auto" w:fill="FFFFFF"/>
        </w:rPr>
        <w:t>ue la circonstance qu’</w:t>
      </w:r>
      <w:r w:rsidR="00741D4D" w:rsidRPr="00741D4D">
        <w:rPr>
          <w:rStyle w:val="txt"/>
          <w:color w:val="auto"/>
          <w:bdr w:val="none" w:sz="0" w:space="0" w:color="auto" w:frame="1"/>
          <w:shd w:val="clear" w:color="auto" w:fill="FFFFFF"/>
        </w:rPr>
        <w:t>elle avait</w:t>
      </w:r>
      <w:r w:rsidR="0052787B" w:rsidRPr="00741D4D">
        <w:rPr>
          <w:rStyle w:val="txt"/>
          <w:color w:val="auto"/>
          <w:bdr w:val="none" w:sz="0" w:space="0" w:color="auto" w:frame="1"/>
          <w:shd w:val="clear" w:color="auto" w:fill="FFFFFF"/>
        </w:rPr>
        <w:t xml:space="preserve"> gagné le premier appel offre en 2004, puis partiellement le second en 2004, ne pouvait lui laisser croire qu’elle remporterait obligatoirement le </w:t>
      </w:r>
      <w:r w:rsidR="00816653" w:rsidRPr="00741D4D">
        <w:rPr>
          <w:rStyle w:val="txt"/>
          <w:color w:val="auto"/>
          <w:bdr w:val="none" w:sz="0" w:space="0" w:color="auto" w:frame="1"/>
          <w:shd w:val="clear" w:color="auto" w:fill="FFFFFF"/>
        </w:rPr>
        <w:t>troisième</w:t>
      </w:r>
      <w:r w:rsidR="0052787B" w:rsidRPr="00741D4D">
        <w:rPr>
          <w:rStyle w:val="txt"/>
          <w:color w:val="auto"/>
          <w:bdr w:val="none" w:sz="0" w:space="0" w:color="auto" w:frame="1"/>
          <w:shd w:val="clear" w:color="auto" w:fill="FFFFFF"/>
        </w:rPr>
        <w:t xml:space="preserve"> appel d’</w:t>
      </w:r>
      <w:r w:rsidR="00816653" w:rsidRPr="00741D4D">
        <w:rPr>
          <w:rStyle w:val="txt"/>
          <w:color w:val="auto"/>
          <w:bdr w:val="none" w:sz="0" w:space="0" w:color="auto" w:frame="1"/>
          <w:shd w:val="clear" w:color="auto" w:fill="FFFFFF"/>
        </w:rPr>
        <w:t xml:space="preserve">offres, </w:t>
      </w:r>
      <w:r w:rsidR="0052787B" w:rsidRPr="00741D4D">
        <w:rPr>
          <w:rStyle w:val="txt"/>
          <w:color w:val="auto"/>
          <w:bdr w:val="none" w:sz="0" w:space="0" w:color="auto" w:frame="1"/>
          <w:shd w:val="clear" w:color="auto" w:fill="FFFFFF"/>
        </w:rPr>
        <w:t>compte tenu de la mise en concurr</w:t>
      </w:r>
      <w:r>
        <w:rPr>
          <w:rStyle w:val="txt"/>
          <w:color w:val="auto"/>
          <w:bdr w:val="none" w:sz="0" w:space="0" w:color="auto" w:frame="1"/>
          <w:shd w:val="clear" w:color="auto" w:fill="FFFFFF"/>
        </w:rPr>
        <w:t xml:space="preserve">ence avec d'autres entreprises. </w:t>
      </w:r>
      <w:r w:rsidR="00032BE3">
        <w:rPr>
          <w:rStyle w:val="txt"/>
          <w:color w:val="auto"/>
          <w:bdr w:val="none" w:sz="0" w:space="0" w:color="auto" w:frame="1"/>
          <w:shd w:val="clear" w:color="auto" w:fill="FFFFFF"/>
        </w:rPr>
        <w:t xml:space="preserve">En quatrième lieu, que cette mise en compétition avec des concurrents privait les relations commerciales avec l’entreprise </w:t>
      </w:r>
      <w:r w:rsidR="00032BE3" w:rsidRPr="00032BE3">
        <w:rPr>
          <w:rStyle w:val="txt"/>
          <w:color w:val="auto"/>
          <w:bdr w:val="none" w:sz="0" w:space="0" w:color="auto" w:frame="1"/>
          <w:shd w:val="clear" w:color="auto" w:fill="FFFFFF"/>
        </w:rPr>
        <w:t>de nettoyage de toute permanence garantie</w:t>
      </w:r>
      <w:r w:rsidR="00032BE3">
        <w:rPr>
          <w:rStyle w:val="txt"/>
          <w:color w:val="auto"/>
          <w:bdr w:val="none" w:sz="0" w:space="0" w:color="auto" w:frame="1"/>
          <w:shd w:val="clear" w:color="auto" w:fill="FFFFFF"/>
        </w:rPr>
        <w:t xml:space="preserve">. </w:t>
      </w:r>
    </w:p>
    <w:p w:rsidR="00741D4D" w:rsidRPr="00032BE3" w:rsidRDefault="00816653" w:rsidP="00ED3835">
      <w:pPr>
        <w:rPr>
          <w:rStyle w:val="txt"/>
          <w:color w:val="auto"/>
          <w:bdr w:val="none" w:sz="0" w:space="0" w:color="auto" w:frame="1"/>
          <w:shd w:val="clear" w:color="auto" w:fill="FFFFFF"/>
        </w:rPr>
      </w:pPr>
      <w:r w:rsidRPr="00032BE3">
        <w:rPr>
          <w:rStyle w:val="txt"/>
          <w:color w:val="auto"/>
          <w:bdr w:val="none" w:sz="0" w:space="0" w:color="auto" w:frame="1"/>
          <w:shd w:val="clear" w:color="auto" w:fill="FFFFFF"/>
        </w:rPr>
        <w:t xml:space="preserve">Enfin, </w:t>
      </w:r>
      <w:r w:rsidR="00032BE3" w:rsidRPr="00032BE3">
        <w:rPr>
          <w:rStyle w:val="txt"/>
          <w:color w:val="auto"/>
          <w:bdr w:val="none" w:sz="0" w:space="0" w:color="auto" w:frame="1"/>
          <w:shd w:val="clear" w:color="auto" w:fill="FFFFFF"/>
        </w:rPr>
        <w:t xml:space="preserve">la cour d’appel a jugé </w:t>
      </w:r>
      <w:r w:rsidR="00AB2239" w:rsidRPr="00032BE3">
        <w:rPr>
          <w:rStyle w:val="txt"/>
          <w:color w:val="auto"/>
          <w:bdr w:val="none" w:sz="0" w:space="0" w:color="auto" w:frame="1"/>
          <w:shd w:val="clear" w:color="auto" w:fill="FFFFFF"/>
        </w:rPr>
        <w:t>que la procédure d'appel d'offres comportait par essence pour l'entreprise qui s'</w:t>
      </w:r>
      <w:r w:rsidR="00741D4D" w:rsidRPr="00032BE3">
        <w:rPr>
          <w:rStyle w:val="txt"/>
          <w:color w:val="auto"/>
          <w:bdr w:val="none" w:sz="0" w:space="0" w:color="auto" w:frame="1"/>
          <w:shd w:val="clear" w:color="auto" w:fill="FFFFFF"/>
        </w:rPr>
        <w:t>y soumet</w:t>
      </w:r>
      <w:r w:rsidR="0002377F" w:rsidRPr="00032BE3">
        <w:rPr>
          <w:rStyle w:val="txt"/>
          <w:color w:val="auto"/>
          <w:bdr w:val="none" w:sz="0" w:space="0" w:color="auto" w:frame="1"/>
          <w:shd w:val="clear" w:color="auto" w:fill="FFFFFF"/>
        </w:rPr>
        <w:t>tait</w:t>
      </w:r>
      <w:r w:rsidR="00741D4D" w:rsidRPr="00032BE3">
        <w:rPr>
          <w:rStyle w:val="txt"/>
          <w:color w:val="auto"/>
          <w:bdr w:val="none" w:sz="0" w:space="0" w:color="auto" w:frame="1"/>
          <w:shd w:val="clear" w:color="auto" w:fill="FFFFFF"/>
        </w:rPr>
        <w:t xml:space="preserve"> un aléa qu'elle ne pouvait</w:t>
      </w:r>
      <w:r w:rsidR="00AB2239" w:rsidRPr="00032BE3">
        <w:rPr>
          <w:rStyle w:val="txt"/>
          <w:color w:val="auto"/>
          <w:bdr w:val="none" w:sz="0" w:space="0" w:color="auto" w:frame="1"/>
          <w:shd w:val="clear" w:color="auto" w:fill="FFFFFF"/>
        </w:rPr>
        <w:t xml:space="preserve"> ignorer et plaçait celle-ci dans une perspective de préca</w:t>
      </w:r>
      <w:r w:rsidR="00741D4D" w:rsidRPr="00032BE3">
        <w:rPr>
          <w:rStyle w:val="txt"/>
          <w:color w:val="auto"/>
          <w:bdr w:val="none" w:sz="0" w:space="0" w:color="auto" w:frame="1"/>
          <w:shd w:val="clear" w:color="auto" w:fill="FFFFFF"/>
        </w:rPr>
        <w:t xml:space="preserve">rité des relations commerciales.  </w:t>
      </w:r>
    </w:p>
    <w:p w:rsidR="00AB2239" w:rsidRPr="00741D4D" w:rsidRDefault="00741D4D" w:rsidP="00ED3835">
      <w:pPr>
        <w:rPr>
          <w:rStyle w:val="txt"/>
          <w:color w:val="auto"/>
          <w:bdr w:val="none" w:sz="0" w:space="0" w:color="auto" w:frame="1"/>
          <w:shd w:val="clear" w:color="auto" w:fill="FFFFFF"/>
        </w:rPr>
      </w:pPr>
      <w:r w:rsidRPr="00741D4D">
        <w:rPr>
          <w:rStyle w:val="txt"/>
          <w:color w:val="auto"/>
          <w:bdr w:val="none" w:sz="0" w:space="0" w:color="auto" w:frame="1"/>
          <w:shd w:val="clear" w:color="auto" w:fill="FFFFFF"/>
        </w:rPr>
        <w:t>Faute de relations commerciales établies entre les parties, la Cour d’appel a empêché l’entreprise de nettoyage de se prévaloir des dispositions de l’article L 442-6-I-5 du Code de commerce.</w:t>
      </w:r>
    </w:p>
    <w:p w:rsidR="00741D4D" w:rsidRDefault="00741D4D" w:rsidP="00ED3835">
      <w:r>
        <w:t>C</w:t>
      </w:r>
      <w:r w:rsidR="00784CAE">
        <w:t xml:space="preserve">our d’appel de Paris, </w:t>
      </w:r>
      <w:r w:rsidR="001D71DF">
        <w:t>chambre 5/4 7-9-2016 n°</w:t>
      </w:r>
      <w:r>
        <w:t xml:space="preserve"> </w:t>
      </w:r>
      <w:r w:rsidR="007C3E4A">
        <w:t xml:space="preserve">14 </w:t>
      </w:r>
      <w:r>
        <w:t>/06517</w:t>
      </w:r>
      <w:r w:rsidR="00784CAE">
        <w:t xml:space="preserve">. </w:t>
      </w:r>
    </w:p>
    <w:p w:rsidR="005A76A9" w:rsidRDefault="00CE2602" w:rsidP="00ED3835">
      <w:pPr>
        <w:pStyle w:val="NormalWeb"/>
        <w:shd w:val="clear" w:color="auto" w:fill="FFFFFF"/>
        <w:spacing w:before="180" w:beforeAutospacing="0" w:after="180" w:afterAutospacing="0"/>
        <w:jc w:val="both"/>
        <w:rPr>
          <w:rFonts w:ascii="Arial" w:hAnsi="Arial" w:cs="Arial"/>
          <w:color w:val="000000"/>
          <w:sz w:val="21"/>
          <w:szCs w:val="21"/>
        </w:rPr>
      </w:pPr>
      <w:r w:rsidRPr="00032BE3">
        <w:rPr>
          <w:rFonts w:ascii="Arial" w:hAnsi="Arial" w:cs="Arial"/>
          <w:color w:val="000000"/>
          <w:sz w:val="21"/>
          <w:szCs w:val="21"/>
        </w:rPr>
        <w:t>L’entreprise qui s</w:t>
      </w:r>
      <w:r w:rsidR="005A76A9" w:rsidRPr="00032BE3">
        <w:rPr>
          <w:rFonts w:ascii="Arial" w:hAnsi="Arial" w:cs="Arial"/>
          <w:color w:val="000000"/>
          <w:sz w:val="21"/>
          <w:szCs w:val="21"/>
        </w:rPr>
        <w:t>e soumet à une</w:t>
      </w:r>
      <w:r w:rsidRPr="00032BE3">
        <w:rPr>
          <w:rFonts w:ascii="Arial" w:hAnsi="Arial" w:cs="Arial"/>
          <w:color w:val="000000"/>
          <w:sz w:val="21"/>
          <w:szCs w:val="21"/>
        </w:rPr>
        <w:t xml:space="preserve"> procédure d’appel d’offres ne peut légitimement s’attendre à la stabilité de la relation commerciale</w:t>
      </w:r>
      <w:r w:rsidR="005A76A9" w:rsidRPr="00032BE3">
        <w:rPr>
          <w:rFonts w:ascii="Arial" w:hAnsi="Arial" w:cs="Arial"/>
          <w:color w:val="000000"/>
          <w:sz w:val="21"/>
          <w:szCs w:val="21"/>
        </w:rPr>
        <w:t>.</w:t>
      </w:r>
      <w:r w:rsidR="005A76A9">
        <w:rPr>
          <w:rFonts w:ascii="Arial" w:hAnsi="Arial" w:cs="Arial"/>
          <w:color w:val="000000"/>
          <w:sz w:val="21"/>
          <w:szCs w:val="21"/>
        </w:rPr>
        <w:t xml:space="preserve"> </w:t>
      </w:r>
    </w:p>
    <w:p w:rsidR="00113FB8" w:rsidRDefault="00113FB8" w:rsidP="00ED3835">
      <w:pPr>
        <w:pStyle w:val="Titre1"/>
      </w:pPr>
      <w:r>
        <w:t>P</w:t>
      </w:r>
      <w:r w:rsidR="005A76A9">
        <w:t xml:space="preserve">erd le droit au renouvellement le </w:t>
      </w:r>
      <w:r w:rsidR="007C3E4A">
        <w:t xml:space="preserve">locataire </w:t>
      </w:r>
      <w:r w:rsidR="00502A85">
        <w:t>non immatriculé pour l’</w:t>
      </w:r>
      <w:r w:rsidR="00B359AA">
        <w:t xml:space="preserve">activité </w:t>
      </w:r>
      <w:r w:rsidR="00502A85">
        <w:t>exercée dans le local loué</w:t>
      </w:r>
    </w:p>
    <w:p w:rsidR="005B2664" w:rsidRPr="00ED3835" w:rsidRDefault="005B2664" w:rsidP="00ED3835">
      <w:pPr>
        <w:pStyle w:val="NormalWeb"/>
        <w:jc w:val="both"/>
        <w:rPr>
          <w:rFonts w:ascii="Arial" w:hAnsi="Arial" w:cs="Arial"/>
          <w:sz w:val="21"/>
          <w:szCs w:val="21"/>
        </w:rPr>
      </w:pPr>
      <w:r w:rsidRPr="00ED3835">
        <w:rPr>
          <w:rFonts w:ascii="Arial" w:hAnsi="Arial" w:cs="Arial"/>
          <w:sz w:val="21"/>
          <w:szCs w:val="21"/>
        </w:rPr>
        <w:t>Le locataire immatriculé au registre du commerce et des sociétés pour une activité qui ne correspond plus à celle réellement exercée ne peut pas se prévaloir du statut des droits commerciaux pour demander le paiement d’une indemnité d’éviction.</w:t>
      </w:r>
      <w:r w:rsidR="0024778B" w:rsidRPr="00ED3835">
        <w:rPr>
          <w:rFonts w:ascii="Arial" w:hAnsi="Arial" w:cs="Arial"/>
          <w:sz w:val="21"/>
          <w:szCs w:val="21"/>
        </w:rPr>
        <w:t xml:space="preserve"> </w:t>
      </w:r>
    </w:p>
    <w:p w:rsidR="007C3E4A" w:rsidRDefault="007C3E4A" w:rsidP="00ED3835">
      <w:pPr>
        <w:shd w:val="clear" w:color="auto" w:fill="FFFFFF"/>
        <w:spacing w:after="240" w:line="240" w:lineRule="auto"/>
        <w:rPr>
          <w:rFonts w:eastAsia="Times New Roman"/>
          <w:bdr w:val="none" w:sz="0" w:space="0" w:color="auto" w:frame="1"/>
          <w:lang w:eastAsia="fr-FR"/>
        </w:rPr>
      </w:pPr>
      <w:r w:rsidRPr="00032BE3">
        <w:rPr>
          <w:rFonts w:eastAsia="Times New Roman"/>
          <w:bdr w:val="none" w:sz="0" w:space="0" w:color="auto" w:frame="1"/>
          <w:lang w:eastAsia="fr-FR"/>
        </w:rPr>
        <w:t>En l’espèce, l</w:t>
      </w:r>
      <w:r w:rsidR="00746746" w:rsidRPr="00032BE3">
        <w:rPr>
          <w:rFonts w:eastAsia="Times New Roman"/>
          <w:bdr w:val="none" w:sz="0" w:space="0" w:color="auto" w:frame="1"/>
          <w:lang w:eastAsia="fr-FR"/>
        </w:rPr>
        <w:t xml:space="preserve">e propriétaire de locaux commerciaux loués </w:t>
      </w:r>
      <w:r w:rsidR="007A540D" w:rsidRPr="00032BE3">
        <w:rPr>
          <w:rFonts w:eastAsia="Times New Roman"/>
          <w:bdr w:val="none" w:sz="0" w:space="0" w:color="auto" w:frame="1"/>
          <w:lang w:eastAsia="fr-FR"/>
        </w:rPr>
        <w:t xml:space="preserve">avait refusé la demande de renouvellement notifiée par son locataire et lui avait proposé une indemnité d’éviction. </w:t>
      </w:r>
      <w:r w:rsidR="00B359AA" w:rsidRPr="00032BE3">
        <w:rPr>
          <w:rFonts w:eastAsia="Times New Roman"/>
          <w:bdr w:val="none" w:sz="0" w:space="0" w:color="auto" w:frame="1"/>
          <w:lang w:eastAsia="fr-FR"/>
        </w:rPr>
        <w:t>Ensuite, c</w:t>
      </w:r>
      <w:r w:rsidRPr="00032BE3">
        <w:rPr>
          <w:rFonts w:eastAsia="Times New Roman"/>
          <w:bdr w:val="none" w:sz="0" w:space="0" w:color="auto" w:frame="1"/>
          <w:lang w:eastAsia="fr-FR"/>
        </w:rPr>
        <w:t>ompte tenu du défaut d’immatriculation au registre du commerce et des sociétés pour l’activité réellement exercée dans les lieux par la locataire, le bailleur l’avait assigné en acquisition de la clause résolutoire et en déchéance du droit à une indemnité d’éviction.</w:t>
      </w:r>
      <w:r>
        <w:rPr>
          <w:rFonts w:eastAsia="Times New Roman"/>
          <w:bdr w:val="none" w:sz="0" w:space="0" w:color="auto" w:frame="1"/>
          <w:lang w:eastAsia="fr-FR"/>
        </w:rPr>
        <w:t xml:space="preserve"> </w:t>
      </w:r>
    </w:p>
    <w:p w:rsidR="00FC275E" w:rsidRPr="00ED3835" w:rsidRDefault="00FC275E" w:rsidP="00ED3835">
      <w:pPr>
        <w:shd w:val="clear" w:color="auto" w:fill="FFFFFF"/>
        <w:spacing w:after="240" w:line="240" w:lineRule="auto"/>
        <w:rPr>
          <w:rFonts w:eastAsia="Times New Roman"/>
          <w:bdr w:val="none" w:sz="0" w:space="0" w:color="auto" w:frame="1"/>
          <w:lang w:eastAsia="fr-FR"/>
        </w:rPr>
      </w:pPr>
      <w:r w:rsidRPr="00ED3835">
        <w:rPr>
          <w:rFonts w:eastAsia="Times New Roman"/>
          <w:bdr w:val="none" w:sz="0" w:space="0" w:color="auto" w:frame="1"/>
          <w:lang w:eastAsia="fr-FR"/>
        </w:rPr>
        <w:t xml:space="preserve">La Cour d’appel avait rejeté la demande du bailleur en estimant </w:t>
      </w:r>
      <w:r w:rsidR="00746746" w:rsidRPr="00ED3835">
        <w:rPr>
          <w:rFonts w:eastAsia="Times New Roman"/>
          <w:bdr w:val="none" w:sz="0" w:space="0" w:color="auto" w:frame="1"/>
          <w:lang w:eastAsia="fr-FR"/>
        </w:rPr>
        <w:t>en premier lieu</w:t>
      </w:r>
      <w:r w:rsidR="007C3E4A">
        <w:rPr>
          <w:rFonts w:eastAsia="Times New Roman"/>
          <w:bdr w:val="none" w:sz="0" w:space="0" w:color="auto" w:frame="1"/>
          <w:lang w:eastAsia="fr-FR"/>
        </w:rPr>
        <w:t>,</w:t>
      </w:r>
      <w:r w:rsidR="00746746" w:rsidRPr="00ED3835">
        <w:rPr>
          <w:rFonts w:eastAsia="Times New Roman"/>
          <w:bdr w:val="none" w:sz="0" w:space="0" w:color="auto" w:frame="1"/>
          <w:lang w:eastAsia="fr-FR"/>
        </w:rPr>
        <w:t xml:space="preserve"> que la</w:t>
      </w:r>
      <w:r w:rsidRPr="00ED3835">
        <w:rPr>
          <w:rFonts w:eastAsia="Times New Roman"/>
          <w:bdr w:val="none" w:sz="0" w:space="0" w:color="auto" w:frame="1"/>
          <w:lang w:eastAsia="fr-FR"/>
        </w:rPr>
        <w:t xml:space="preserve"> locataire était immatriculé</w:t>
      </w:r>
      <w:r w:rsidR="00746746" w:rsidRPr="00ED3835">
        <w:rPr>
          <w:rFonts w:eastAsia="Times New Roman"/>
          <w:bdr w:val="none" w:sz="0" w:space="0" w:color="auto" w:frame="1"/>
          <w:lang w:eastAsia="fr-FR"/>
        </w:rPr>
        <w:t>e</w:t>
      </w:r>
      <w:r w:rsidRPr="00ED3835">
        <w:rPr>
          <w:rFonts w:eastAsia="Times New Roman"/>
          <w:bdr w:val="none" w:sz="0" w:space="0" w:color="auto" w:frame="1"/>
          <w:lang w:eastAsia="fr-FR"/>
        </w:rPr>
        <w:t xml:space="preserve"> à la date de la de</w:t>
      </w:r>
      <w:r w:rsidR="00746746" w:rsidRPr="00ED3835">
        <w:rPr>
          <w:rFonts w:eastAsia="Times New Roman"/>
          <w:bdr w:val="none" w:sz="0" w:space="0" w:color="auto" w:frame="1"/>
          <w:lang w:eastAsia="fr-FR"/>
        </w:rPr>
        <w:t>mande de renouvellement du bail,</w:t>
      </w:r>
      <w:r w:rsidRPr="00ED3835">
        <w:rPr>
          <w:rFonts w:eastAsia="Times New Roman"/>
          <w:bdr w:val="none" w:sz="0" w:space="0" w:color="auto" w:frame="1"/>
          <w:lang w:eastAsia="fr-FR"/>
        </w:rPr>
        <w:t xml:space="preserve"> </w:t>
      </w:r>
      <w:r w:rsidR="00746746" w:rsidRPr="00ED3835">
        <w:rPr>
          <w:rFonts w:eastAsia="Times New Roman"/>
          <w:bdr w:val="none" w:sz="0" w:space="0" w:color="auto" w:frame="1"/>
          <w:lang w:eastAsia="fr-FR"/>
        </w:rPr>
        <w:t xml:space="preserve">en deuxième lieu, </w:t>
      </w:r>
      <w:r w:rsidRPr="00ED3835">
        <w:rPr>
          <w:rFonts w:eastAsia="Times New Roman"/>
          <w:bdr w:val="none" w:sz="0" w:space="0" w:color="auto" w:frame="1"/>
          <w:lang w:eastAsia="fr-FR"/>
        </w:rPr>
        <w:t>que l’absence de modification de l’immatriculation ne constituait pas un manquement suffisamment grave pour justifier la déchéance du droit au paiement de l’indemnité d’évicti</w:t>
      </w:r>
      <w:r w:rsidR="00746746" w:rsidRPr="00ED3835">
        <w:rPr>
          <w:rFonts w:eastAsia="Times New Roman"/>
          <w:bdr w:val="none" w:sz="0" w:space="0" w:color="auto" w:frame="1"/>
          <w:lang w:eastAsia="fr-FR"/>
        </w:rPr>
        <w:t>o</w:t>
      </w:r>
      <w:r w:rsidR="007C3E4A">
        <w:rPr>
          <w:rFonts w:eastAsia="Times New Roman"/>
          <w:bdr w:val="none" w:sz="0" w:space="0" w:color="auto" w:frame="1"/>
          <w:lang w:eastAsia="fr-FR"/>
        </w:rPr>
        <w:t>n</w:t>
      </w:r>
      <w:r w:rsidR="00502A85">
        <w:rPr>
          <w:rFonts w:eastAsia="Times New Roman"/>
          <w:bdr w:val="none" w:sz="0" w:space="0" w:color="auto" w:frame="1"/>
          <w:lang w:eastAsia="fr-FR"/>
        </w:rPr>
        <w:t>,</w:t>
      </w:r>
      <w:r w:rsidR="00746746" w:rsidRPr="00ED3835">
        <w:rPr>
          <w:rFonts w:eastAsia="Times New Roman"/>
          <w:bdr w:val="none" w:sz="0" w:space="0" w:color="auto" w:frame="1"/>
          <w:lang w:eastAsia="fr-FR"/>
        </w:rPr>
        <w:t xml:space="preserve"> faute pour le bailleur d’avoir mis en demeure son locata</w:t>
      </w:r>
      <w:r w:rsidR="00502A85">
        <w:rPr>
          <w:rFonts w:eastAsia="Times New Roman"/>
          <w:bdr w:val="none" w:sz="0" w:space="0" w:color="auto" w:frame="1"/>
          <w:lang w:eastAsia="fr-FR"/>
        </w:rPr>
        <w:t>ire de régulariser la situation, e</w:t>
      </w:r>
      <w:r w:rsidR="00746746" w:rsidRPr="00ED3835">
        <w:rPr>
          <w:rFonts w:eastAsia="Times New Roman"/>
          <w:bdr w:val="none" w:sz="0" w:space="0" w:color="auto" w:frame="1"/>
          <w:lang w:eastAsia="fr-FR"/>
        </w:rPr>
        <w:t>t en troisième lieu, que la</w:t>
      </w:r>
      <w:r w:rsidRPr="00ED3835">
        <w:rPr>
          <w:rFonts w:eastAsia="Times New Roman"/>
          <w:bdr w:val="none" w:sz="0" w:space="0" w:color="auto" w:frame="1"/>
          <w:lang w:eastAsia="fr-FR"/>
        </w:rPr>
        <w:t xml:space="preserve"> </w:t>
      </w:r>
      <w:r w:rsidR="00502A85">
        <w:rPr>
          <w:rFonts w:eastAsia="Times New Roman"/>
          <w:bdr w:val="none" w:sz="0" w:space="0" w:color="auto" w:frame="1"/>
          <w:lang w:eastAsia="fr-FR"/>
        </w:rPr>
        <w:t>loi ne prévoyait</w:t>
      </w:r>
      <w:r w:rsidR="00746746" w:rsidRPr="00ED3835">
        <w:rPr>
          <w:rFonts w:eastAsia="Times New Roman"/>
          <w:bdr w:val="none" w:sz="0" w:space="0" w:color="auto" w:frame="1"/>
          <w:lang w:eastAsia="fr-FR"/>
        </w:rPr>
        <w:t xml:space="preserve"> expressément que l’obligation d’immatriculation. </w:t>
      </w:r>
    </w:p>
    <w:p w:rsidR="00FC275E" w:rsidRPr="00ED3835" w:rsidRDefault="00746746" w:rsidP="00ED3835">
      <w:pPr>
        <w:shd w:val="clear" w:color="auto" w:fill="FFFFFF"/>
        <w:spacing w:after="240" w:line="240" w:lineRule="auto"/>
        <w:rPr>
          <w:rFonts w:eastAsia="Times New Roman"/>
          <w:bdr w:val="none" w:sz="0" w:space="0" w:color="auto" w:frame="1"/>
          <w:lang w:eastAsia="fr-FR"/>
        </w:rPr>
      </w:pPr>
      <w:r w:rsidRPr="00ED3835">
        <w:rPr>
          <w:rFonts w:eastAsia="Times New Roman"/>
          <w:bdr w:val="none" w:sz="0" w:space="0" w:color="auto" w:frame="1"/>
          <w:lang w:eastAsia="fr-FR"/>
        </w:rPr>
        <w:t>La Cour</w:t>
      </w:r>
      <w:r w:rsidR="00502A85">
        <w:rPr>
          <w:rFonts w:eastAsia="Times New Roman"/>
          <w:bdr w:val="none" w:sz="0" w:space="0" w:color="auto" w:frame="1"/>
          <w:lang w:eastAsia="fr-FR"/>
        </w:rPr>
        <w:t xml:space="preserve"> a censuré ce raisonnement en jugeant </w:t>
      </w:r>
      <w:r w:rsidR="00FC275E" w:rsidRPr="00ED3835">
        <w:rPr>
          <w:rFonts w:eastAsia="Times New Roman"/>
          <w:bdr w:val="none" w:sz="0" w:space="0" w:color="auto" w:frame="1"/>
          <w:lang w:eastAsia="fr-FR"/>
        </w:rPr>
        <w:t>que la dénégation du droit au statut des baux commerciaux en raison du défaut d’immatriculation n’a pas à être précédée d</w:t>
      </w:r>
      <w:r w:rsidRPr="00ED3835">
        <w:rPr>
          <w:rFonts w:eastAsia="Times New Roman"/>
          <w:bdr w:val="none" w:sz="0" w:space="0" w:color="auto" w:frame="1"/>
          <w:lang w:eastAsia="fr-FR"/>
        </w:rPr>
        <w:t xml:space="preserve">’une mise en demeure, et </w:t>
      </w:r>
      <w:r w:rsidR="00FC275E" w:rsidRPr="00ED3835">
        <w:rPr>
          <w:rFonts w:eastAsia="Times New Roman"/>
          <w:bdr w:val="none" w:sz="0" w:space="0" w:color="auto" w:frame="1"/>
          <w:lang w:eastAsia="fr-FR"/>
        </w:rPr>
        <w:t xml:space="preserve">que la société locataire était immatriculée au registre du commerce et des sociétés au titre d’une activité qui n’était pas celle réellement exercée dans les lieux loués. </w:t>
      </w:r>
      <w:r w:rsidRPr="00ED3835">
        <w:rPr>
          <w:rFonts w:eastAsia="Times New Roman"/>
          <w:bdr w:val="none" w:sz="0" w:space="0" w:color="auto" w:frame="1"/>
          <w:lang w:eastAsia="fr-FR"/>
        </w:rPr>
        <w:t xml:space="preserve"> </w:t>
      </w:r>
    </w:p>
    <w:p w:rsidR="002F6ED1" w:rsidRDefault="007A540D" w:rsidP="00ED3835">
      <w:pPr>
        <w:pStyle w:val="NormalWeb"/>
        <w:jc w:val="both"/>
        <w:rPr>
          <w:rFonts w:ascii="Arial" w:hAnsi="Arial" w:cs="Arial"/>
          <w:sz w:val="21"/>
          <w:szCs w:val="21"/>
        </w:rPr>
      </w:pPr>
      <w:r w:rsidRPr="00502A85">
        <w:rPr>
          <w:rFonts w:ascii="Arial" w:hAnsi="Arial" w:cs="Arial"/>
          <w:sz w:val="21"/>
          <w:szCs w:val="21"/>
        </w:rPr>
        <w:t>C</w:t>
      </w:r>
      <w:r w:rsidR="00502A85" w:rsidRPr="00502A85">
        <w:rPr>
          <w:rFonts w:ascii="Arial" w:hAnsi="Arial" w:cs="Arial"/>
          <w:sz w:val="21"/>
          <w:szCs w:val="21"/>
        </w:rPr>
        <w:t>our de c</w:t>
      </w:r>
      <w:r w:rsidRPr="00502A85">
        <w:rPr>
          <w:rFonts w:ascii="Arial" w:hAnsi="Arial" w:cs="Arial"/>
          <w:sz w:val="21"/>
          <w:szCs w:val="21"/>
        </w:rPr>
        <w:t>ass</w:t>
      </w:r>
      <w:r w:rsidR="00502A85" w:rsidRPr="00502A85">
        <w:rPr>
          <w:rFonts w:ascii="Arial" w:hAnsi="Arial" w:cs="Arial"/>
          <w:sz w:val="21"/>
          <w:szCs w:val="21"/>
        </w:rPr>
        <w:t>ation, 3éme Chambre</w:t>
      </w:r>
      <w:r w:rsidRPr="00502A85">
        <w:rPr>
          <w:rFonts w:ascii="Arial" w:hAnsi="Arial" w:cs="Arial"/>
          <w:sz w:val="21"/>
          <w:szCs w:val="21"/>
        </w:rPr>
        <w:t xml:space="preserve"> civ</w:t>
      </w:r>
      <w:r w:rsidR="00502A85" w:rsidRPr="00502A85">
        <w:rPr>
          <w:rFonts w:ascii="Arial" w:hAnsi="Arial" w:cs="Arial"/>
          <w:sz w:val="21"/>
          <w:szCs w:val="21"/>
        </w:rPr>
        <w:t>ile,</w:t>
      </w:r>
      <w:r w:rsidRPr="00502A85">
        <w:rPr>
          <w:rFonts w:ascii="Arial" w:hAnsi="Arial" w:cs="Arial"/>
          <w:sz w:val="21"/>
          <w:szCs w:val="21"/>
        </w:rPr>
        <w:t xml:space="preserve"> 22-9-2016 no 15-18.456 F-PB</w:t>
      </w:r>
      <w:r w:rsidR="00502A85">
        <w:rPr>
          <w:rFonts w:ascii="Arial" w:hAnsi="Arial" w:cs="Arial"/>
          <w:sz w:val="21"/>
          <w:szCs w:val="21"/>
        </w:rPr>
        <w:t xml:space="preserve">. </w:t>
      </w:r>
    </w:p>
    <w:p w:rsidR="00D2163C" w:rsidRDefault="002F6ED1" w:rsidP="00ED3835">
      <w:pPr>
        <w:pStyle w:val="NormalWeb"/>
        <w:jc w:val="both"/>
        <w:rPr>
          <w:rFonts w:ascii="Arial" w:hAnsi="Arial" w:cs="Arial"/>
          <w:sz w:val="21"/>
          <w:szCs w:val="21"/>
        </w:rPr>
      </w:pPr>
      <w:r>
        <w:rPr>
          <w:rFonts w:ascii="Arial" w:hAnsi="Arial" w:cs="Arial"/>
          <w:sz w:val="21"/>
          <w:szCs w:val="21"/>
        </w:rPr>
        <w:t>En 2002, l</w:t>
      </w:r>
      <w:r w:rsidR="00502A85" w:rsidRPr="00502A85">
        <w:rPr>
          <w:rFonts w:ascii="Arial" w:hAnsi="Arial" w:cs="Arial"/>
          <w:sz w:val="21"/>
          <w:szCs w:val="21"/>
        </w:rPr>
        <w:t>a Cour de cassation avait jugé que l’immatriculation du locataire était une condition nécessaire pour bénéficier du statut des baux commerciaux (</w:t>
      </w:r>
      <w:proofErr w:type="spellStart"/>
      <w:r w:rsidR="00502A85" w:rsidRPr="00502A85">
        <w:rPr>
          <w:rFonts w:ascii="Arial" w:hAnsi="Arial" w:cs="Arial"/>
          <w:sz w:val="21"/>
          <w:szCs w:val="21"/>
        </w:rPr>
        <w:t>Cass</w:t>
      </w:r>
      <w:proofErr w:type="spellEnd"/>
      <w:r w:rsidR="00502A85" w:rsidRPr="00502A85">
        <w:rPr>
          <w:rFonts w:ascii="Arial" w:hAnsi="Arial" w:cs="Arial"/>
          <w:sz w:val="21"/>
          <w:szCs w:val="21"/>
        </w:rPr>
        <w:t>. 3e civ. 30-1-2002 no 00-15.393 FS-D : RJDA 4/02 no 360).</w:t>
      </w:r>
      <w:r w:rsidR="00D2163C">
        <w:rPr>
          <w:rFonts w:ascii="Arial" w:hAnsi="Arial" w:cs="Arial"/>
          <w:sz w:val="21"/>
          <w:szCs w:val="21"/>
        </w:rPr>
        <w:t xml:space="preserve"> </w:t>
      </w:r>
    </w:p>
    <w:p w:rsidR="002F6ED1" w:rsidRDefault="002F6ED1" w:rsidP="00ED3835">
      <w:pPr>
        <w:pStyle w:val="NormalWeb"/>
        <w:jc w:val="both"/>
        <w:rPr>
          <w:rFonts w:ascii="Arial" w:hAnsi="Arial" w:cs="Arial"/>
          <w:sz w:val="21"/>
          <w:szCs w:val="21"/>
        </w:rPr>
      </w:pPr>
      <w:r>
        <w:rPr>
          <w:rFonts w:ascii="Arial" w:hAnsi="Arial" w:cs="Arial"/>
          <w:sz w:val="21"/>
          <w:szCs w:val="21"/>
        </w:rPr>
        <w:t xml:space="preserve">En 2003, la Cour avait </w:t>
      </w:r>
      <w:r w:rsidR="00D2163C">
        <w:rPr>
          <w:rFonts w:ascii="Arial" w:hAnsi="Arial" w:cs="Arial"/>
          <w:sz w:val="21"/>
          <w:szCs w:val="21"/>
        </w:rPr>
        <w:t>estimé</w:t>
      </w:r>
      <w:r>
        <w:rPr>
          <w:rFonts w:ascii="Arial" w:hAnsi="Arial" w:cs="Arial"/>
          <w:sz w:val="21"/>
          <w:szCs w:val="21"/>
        </w:rPr>
        <w:t xml:space="preserve"> que l</w:t>
      </w:r>
      <w:r w:rsidRPr="002F6ED1">
        <w:rPr>
          <w:rFonts w:ascii="Arial" w:hAnsi="Arial" w:cs="Arial"/>
          <w:sz w:val="21"/>
          <w:szCs w:val="21"/>
        </w:rPr>
        <w:t>e défaut d’immatriculation du locataire au registre du commerce et des sociétés pour l’activité exercée dans les lieux loués au jour de la délivrance du congé le prive de son droit à renouvellement et au paiement d’une indemnité d’éviction (</w:t>
      </w:r>
      <w:proofErr w:type="spellStart"/>
      <w:r w:rsidRPr="002F6ED1">
        <w:rPr>
          <w:rFonts w:ascii="Arial" w:hAnsi="Arial" w:cs="Arial"/>
          <w:sz w:val="21"/>
          <w:szCs w:val="21"/>
        </w:rPr>
        <w:t>Cass</w:t>
      </w:r>
      <w:proofErr w:type="spellEnd"/>
      <w:r w:rsidRPr="002F6ED1">
        <w:rPr>
          <w:rFonts w:ascii="Arial" w:hAnsi="Arial" w:cs="Arial"/>
          <w:sz w:val="21"/>
          <w:szCs w:val="21"/>
        </w:rPr>
        <w:t>. 3e civ. 1-10-2003 no 02-10.381 FS-PB : RJDA 1/04 no 20).</w:t>
      </w:r>
      <w:r>
        <w:rPr>
          <w:rFonts w:ascii="Arial" w:hAnsi="Arial" w:cs="Arial"/>
          <w:sz w:val="21"/>
          <w:szCs w:val="21"/>
        </w:rPr>
        <w:t xml:space="preserve"> </w:t>
      </w:r>
    </w:p>
    <w:p w:rsidR="002F6ED1" w:rsidRDefault="002F6ED1" w:rsidP="00ED3835">
      <w:pPr>
        <w:pStyle w:val="NormalWeb"/>
        <w:jc w:val="both"/>
        <w:rPr>
          <w:rFonts w:ascii="Arial" w:hAnsi="Arial" w:cs="Arial"/>
          <w:sz w:val="21"/>
          <w:szCs w:val="21"/>
        </w:rPr>
      </w:pPr>
      <w:r w:rsidRPr="002F6ED1">
        <w:rPr>
          <w:rFonts w:ascii="Arial" w:hAnsi="Arial" w:cs="Arial"/>
          <w:sz w:val="21"/>
          <w:szCs w:val="21"/>
        </w:rPr>
        <w:t xml:space="preserve">Dans cette décision, la haute juridiction en déduit que la locataire soumise à immatriculation doit déclarer l’activité effectivement exercée dans les locaux loués.  </w:t>
      </w:r>
    </w:p>
    <w:sectPr w:rsidR="002F6ED1" w:rsidSect="00BD3C66">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46" w:rsidRDefault="00746746" w:rsidP="00D72BF4">
      <w:pPr>
        <w:spacing w:after="0" w:line="240" w:lineRule="auto"/>
      </w:pPr>
      <w:r>
        <w:separator/>
      </w:r>
    </w:p>
  </w:endnote>
  <w:endnote w:type="continuationSeparator" w:id="0">
    <w:p w:rsidR="00746746" w:rsidRDefault="00746746" w:rsidP="00D7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693329"/>
      <w:docPartObj>
        <w:docPartGallery w:val="Page Numbers (Bottom of Page)"/>
        <w:docPartUnique/>
      </w:docPartObj>
    </w:sdtPr>
    <w:sdtEndPr>
      <w:rPr>
        <w:sz w:val="16"/>
        <w:szCs w:val="16"/>
      </w:rPr>
    </w:sdtEndPr>
    <w:sdtContent>
      <w:p w:rsidR="00746746" w:rsidRPr="00E55EA4" w:rsidRDefault="00746746" w:rsidP="009339A1">
        <w:pPr>
          <w:pStyle w:val="Pieddepage"/>
          <w:jc w:val="right"/>
          <w:rPr>
            <w:sz w:val="16"/>
            <w:szCs w:val="16"/>
          </w:rPr>
        </w:pPr>
        <w:r w:rsidRPr="00E55EA4">
          <w:rPr>
            <w:sz w:val="16"/>
            <w:szCs w:val="16"/>
          </w:rPr>
          <w:fldChar w:fldCharType="begin"/>
        </w:r>
        <w:r w:rsidRPr="00E55EA4">
          <w:rPr>
            <w:sz w:val="16"/>
            <w:szCs w:val="16"/>
          </w:rPr>
          <w:instrText>PAGE   \* MERGEFORMAT</w:instrText>
        </w:r>
        <w:r w:rsidRPr="00E55EA4">
          <w:rPr>
            <w:sz w:val="16"/>
            <w:szCs w:val="16"/>
          </w:rPr>
          <w:fldChar w:fldCharType="separate"/>
        </w:r>
        <w:r>
          <w:rPr>
            <w:noProof/>
            <w:sz w:val="16"/>
            <w:szCs w:val="16"/>
          </w:rPr>
          <w:t>- 3 -</w:t>
        </w:r>
        <w:r w:rsidRPr="00E55EA4">
          <w:rPr>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222778"/>
      <w:docPartObj>
        <w:docPartGallery w:val="Page Numbers (Bottom of Page)"/>
        <w:docPartUnique/>
      </w:docPartObj>
    </w:sdtPr>
    <w:sdtEndPr>
      <w:rPr>
        <w:sz w:val="16"/>
        <w:szCs w:val="16"/>
      </w:rPr>
    </w:sdtEndPr>
    <w:sdtContent>
      <w:p w:rsidR="00746746" w:rsidRDefault="00746746" w:rsidP="009339A1">
        <w:pPr>
          <w:pStyle w:val="Pieddepage"/>
          <w:jc w:val="right"/>
        </w:pPr>
      </w:p>
      <w:p w:rsidR="00746746" w:rsidRPr="00E55EA4" w:rsidRDefault="00746746" w:rsidP="009339A1">
        <w:pPr>
          <w:pStyle w:val="Pieddepage"/>
          <w:jc w:val="right"/>
          <w:rPr>
            <w:sz w:val="16"/>
            <w:szCs w:val="16"/>
          </w:rPr>
        </w:pPr>
        <w:r w:rsidRPr="00E55EA4">
          <w:rPr>
            <w:sz w:val="16"/>
            <w:szCs w:val="16"/>
          </w:rPr>
          <w:fldChar w:fldCharType="begin"/>
        </w:r>
        <w:r w:rsidRPr="00E55EA4">
          <w:rPr>
            <w:sz w:val="16"/>
            <w:szCs w:val="16"/>
          </w:rPr>
          <w:instrText>PAGE   \* MERGEFORMAT</w:instrText>
        </w:r>
        <w:r w:rsidRPr="00E55EA4">
          <w:rPr>
            <w:sz w:val="16"/>
            <w:szCs w:val="16"/>
          </w:rPr>
          <w:fldChar w:fldCharType="separate"/>
        </w:r>
        <w:r w:rsidR="00D2163C">
          <w:rPr>
            <w:noProof/>
            <w:sz w:val="16"/>
            <w:szCs w:val="16"/>
          </w:rPr>
          <w:t>- 1 -</w:t>
        </w:r>
        <w:r w:rsidRPr="00E55EA4">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46" w:rsidRPr="00E55EA4" w:rsidRDefault="00746746" w:rsidP="009339A1">
    <w:pPr>
      <w:pStyle w:val="Pieddepage"/>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46" w:rsidRDefault="00746746" w:rsidP="00D72BF4">
      <w:pPr>
        <w:spacing w:after="0" w:line="240" w:lineRule="auto"/>
      </w:pPr>
      <w:r>
        <w:separator/>
      </w:r>
    </w:p>
  </w:footnote>
  <w:footnote w:type="continuationSeparator" w:id="0">
    <w:p w:rsidR="00746746" w:rsidRDefault="00746746" w:rsidP="00D72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46" w:rsidRDefault="00746746">
    <w:pPr>
      <w:pStyle w:val="En-tte"/>
    </w:pPr>
    <w:r>
      <w:rPr>
        <w:noProof/>
        <w:lang w:eastAsia="fr-FR"/>
      </w:rPr>
      <w:drawing>
        <wp:anchor distT="0" distB="0" distL="114300" distR="114300" simplePos="0" relativeHeight="251657216"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2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6746" w:rsidTr="008101E5">
      <w:trPr>
        <w:jc w:val="center"/>
      </w:trPr>
      <w:tc>
        <w:tcPr>
          <w:tcW w:w="4531" w:type="dxa"/>
          <w:tcBorders>
            <w:bottom w:val="single" w:sz="12" w:space="0" w:color="595959" w:themeColor="text1" w:themeTint="A6"/>
          </w:tcBorders>
        </w:tcPr>
        <w:p w:rsidR="00746746" w:rsidRPr="00F61DEE" w:rsidRDefault="00746746" w:rsidP="00D72BF4">
          <w:pPr>
            <w:rPr>
              <w:b/>
              <w:color w:val="595959" w:themeColor="text1" w:themeTint="A6"/>
            </w:rPr>
          </w:pPr>
          <w:r>
            <w:rPr>
              <w:b/>
              <w:color w:val="595959" w:themeColor="text1" w:themeTint="A6"/>
            </w:rPr>
            <w:t>CORPORATE</w:t>
          </w:r>
          <w:r w:rsidRPr="00F61DEE">
            <w:rPr>
              <w:b/>
              <w:color w:val="595959" w:themeColor="text1" w:themeTint="A6"/>
            </w:rPr>
            <w:t xml:space="preserve"> | DLGA</w:t>
          </w:r>
        </w:p>
      </w:tc>
      <w:tc>
        <w:tcPr>
          <w:tcW w:w="4531" w:type="dxa"/>
          <w:tcBorders>
            <w:bottom w:val="single" w:sz="12" w:space="0" w:color="595959" w:themeColor="text1" w:themeTint="A6"/>
          </w:tcBorders>
        </w:tcPr>
        <w:p w:rsidR="00746746" w:rsidRPr="00F61DEE" w:rsidRDefault="00746746" w:rsidP="00D72BF4">
          <w:pPr>
            <w:spacing w:after="0"/>
            <w:jc w:val="right"/>
            <w:rPr>
              <w:b/>
              <w:color w:val="595959" w:themeColor="text1" w:themeTint="A6"/>
            </w:rPr>
          </w:pPr>
          <w:r>
            <w:rPr>
              <w:b/>
              <w:color w:val="595959" w:themeColor="text1" w:themeTint="A6"/>
            </w:rPr>
            <w:t>FEVRIER 2016</w:t>
          </w:r>
        </w:p>
      </w:tc>
    </w:tr>
  </w:tbl>
  <w:p w:rsidR="00746746" w:rsidRDefault="00746746" w:rsidP="00D72BF4">
    <w:pPr>
      <w:pStyle w:val="En-tte"/>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46" w:rsidRDefault="00746746" w:rsidP="00654C12">
    <w:r>
      <w:rPr>
        <w:noProof/>
        <w:lang w:eastAsia="fr-FR"/>
      </w:rPr>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971550" cy="971550"/>
          <wp:effectExtent l="0" t="0" r="0" b="0"/>
          <wp:wrapThrough wrapText="bothSides">
            <wp:wrapPolygon edited="0">
              <wp:start x="0" y="0"/>
              <wp:lineTo x="0" y="21176"/>
              <wp:lineTo x="21176" y="21176"/>
              <wp:lineTo x="21176" y="0"/>
              <wp:lineTo x="0" y="0"/>
            </wp:wrapPolygon>
          </wp:wrapThrough>
          <wp:docPr id="25" name="Image 25"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746746" w:rsidRPr="00F61DEE" w:rsidRDefault="00746746" w:rsidP="00654C12"/>
  <w:p w:rsidR="00746746" w:rsidRDefault="00746746" w:rsidP="00654C12">
    <w:r>
      <w:rPr>
        <w:noProof/>
        <w:lang w:eastAsia="fr-FR"/>
      </w:rPr>
      <w:drawing>
        <wp:anchor distT="0" distB="0" distL="114300" distR="114300" simplePos="0" relativeHeight="251656192" behindDoc="1" locked="0" layoutInCell="1" allowOverlap="1">
          <wp:simplePos x="0" y="0"/>
          <wp:positionH relativeFrom="margin">
            <wp:posOffset>-233045</wp:posOffset>
          </wp:positionH>
          <wp:positionV relativeFrom="paragraph">
            <wp:posOffset>226695</wp:posOffset>
          </wp:positionV>
          <wp:extent cx="6134100" cy="1114425"/>
          <wp:effectExtent l="19050" t="0" r="0" b="0"/>
          <wp:wrapThrough wrapText="bothSides">
            <wp:wrapPolygon edited="0">
              <wp:start x="-67" y="0"/>
              <wp:lineTo x="-67" y="21415"/>
              <wp:lineTo x="21600" y="21415"/>
              <wp:lineTo x="21600" y="0"/>
              <wp:lineTo x="-67" y="0"/>
            </wp:wrapPolygon>
          </wp:wrapThrough>
          <wp:docPr id="24" name="Image 24" descr="\\IX2-200-TI84CS\Documents\MDU\Newsletters ENR\2015 11\Support\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1\Support\head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4100" cy="1114425"/>
                  </a:xfrm>
                  <a:prstGeom prst="rect">
                    <a:avLst/>
                  </a:prstGeom>
                  <a:noFill/>
                  <a:ln>
                    <a:noFill/>
                  </a:ln>
                </pic:spPr>
              </pic:pic>
            </a:graphicData>
          </a:graphic>
        </wp:anchor>
      </w:drawing>
    </w:r>
  </w:p>
  <w:p w:rsidR="00746746" w:rsidRPr="00F61DEE" w:rsidRDefault="00746746" w:rsidP="00654C12"/>
  <w:p w:rsidR="00746746" w:rsidRDefault="00746746" w:rsidP="00654C12">
    <w:pPr>
      <w:pStyle w:val="En-tte"/>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46" w:rsidRDefault="00746746">
    <w:pPr>
      <w:pStyle w:val="En-tte"/>
    </w:pPr>
    <w:r>
      <w:rPr>
        <w:noProof/>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4652</wp:posOffset>
          </wp:positionV>
          <wp:extent cx="971550" cy="971550"/>
          <wp:effectExtent l="0" t="0" r="0" b="0"/>
          <wp:wrapThrough wrapText="bothSides">
            <wp:wrapPolygon edited="0">
              <wp:start x="0" y="0"/>
              <wp:lineTo x="0" y="21176"/>
              <wp:lineTo x="21176" y="21176"/>
              <wp:lineTo x="21176" y="0"/>
              <wp:lineTo x="0" y="0"/>
            </wp:wrapPolygon>
          </wp:wrapThrough>
          <wp:docPr id="3" name="Image 23" descr="\\IX2-200-TI84CS\Documents\MDU\Newsletters ENR\2015 10\Support pdf DLGA-Newsletter ENR 23102015\LOGO DLGA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X2-200-TI84CS\Documents\MDU\Newsletters ENR\2015 10\Support pdf DLGA-Newsletter ENR 23102015\LOGO DLGA [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anchor>
      </w:drawing>
    </w: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pPr>
      <w:pStyle w:val="En-tte"/>
    </w:pPr>
  </w:p>
  <w:p w:rsidR="00746746" w:rsidRDefault="00746746" w:rsidP="004B64EC">
    <w:pPr>
      <w:pStyle w:val="En-tte"/>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6746" w:rsidTr="008101E5">
      <w:trPr>
        <w:jc w:val="center"/>
      </w:trPr>
      <w:tc>
        <w:tcPr>
          <w:tcW w:w="4531" w:type="dxa"/>
          <w:tcBorders>
            <w:bottom w:val="single" w:sz="12" w:space="0" w:color="595959" w:themeColor="text1" w:themeTint="A6"/>
          </w:tcBorders>
        </w:tcPr>
        <w:p w:rsidR="00746746" w:rsidRPr="00F61DEE" w:rsidRDefault="00746746" w:rsidP="00D72BF4">
          <w:pPr>
            <w:rPr>
              <w:b/>
              <w:color w:val="595959" w:themeColor="text1" w:themeTint="A6"/>
            </w:rPr>
          </w:pPr>
          <w:r>
            <w:rPr>
              <w:b/>
              <w:color w:val="595959" w:themeColor="text1" w:themeTint="A6"/>
            </w:rPr>
            <w:t>CONTRATS D’AFFAIRES</w:t>
          </w:r>
          <w:r w:rsidRPr="00F61DEE">
            <w:rPr>
              <w:b/>
              <w:color w:val="595959" w:themeColor="text1" w:themeTint="A6"/>
            </w:rPr>
            <w:t xml:space="preserve"> | DLGA</w:t>
          </w:r>
        </w:p>
      </w:tc>
      <w:tc>
        <w:tcPr>
          <w:tcW w:w="4531" w:type="dxa"/>
          <w:tcBorders>
            <w:bottom w:val="single" w:sz="12" w:space="0" w:color="595959" w:themeColor="text1" w:themeTint="A6"/>
          </w:tcBorders>
        </w:tcPr>
        <w:p w:rsidR="00746746" w:rsidRPr="00F61DEE" w:rsidRDefault="00DF6F63" w:rsidP="00DF6F63">
          <w:pPr>
            <w:tabs>
              <w:tab w:val="left" w:pos="3285"/>
              <w:tab w:val="right" w:pos="4315"/>
            </w:tabs>
            <w:spacing w:after="0"/>
            <w:jc w:val="left"/>
            <w:rPr>
              <w:b/>
              <w:color w:val="595959" w:themeColor="text1" w:themeTint="A6"/>
            </w:rPr>
          </w:pPr>
          <w:r>
            <w:rPr>
              <w:b/>
              <w:color w:val="595959" w:themeColor="text1" w:themeTint="A6"/>
            </w:rPr>
            <w:t xml:space="preserve">                                                   Octobre</w:t>
          </w:r>
          <w:r w:rsidR="00746746">
            <w:rPr>
              <w:b/>
              <w:color w:val="595959" w:themeColor="text1" w:themeTint="A6"/>
            </w:rPr>
            <w:t xml:space="preserve"> 2016</w:t>
          </w:r>
        </w:p>
      </w:tc>
    </w:tr>
  </w:tbl>
  <w:p w:rsidR="00746746" w:rsidRDefault="00746746" w:rsidP="00D72BF4">
    <w:pPr>
      <w:pStyle w:val="En-tte"/>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915"/>
    <w:multiLevelType w:val="multilevel"/>
    <w:tmpl w:val="A934D386"/>
    <w:lvl w:ilvl="0">
      <w:start w:val="1"/>
      <w:numFmt w:val="decimal"/>
      <w:pStyle w:val="Titre1"/>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36465715"/>
    <w:multiLevelType w:val="multilevel"/>
    <w:tmpl w:val="A1E2ECCC"/>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Style1"/>
      <w:lvlText w:val="(%3)"/>
      <w:lvlJc w:val="left"/>
      <w:pPr>
        <w:tabs>
          <w:tab w:val="num" w:pos="1417"/>
        </w:tabs>
        <w:ind w:left="1417" w:hanging="708"/>
      </w:pPr>
      <w:rPr>
        <w:rFonts w:ascii="Arial" w:hAnsi="Arial" w:hint="default"/>
        <w:b w:val="0"/>
        <w:i w:val="0"/>
      </w:rPr>
    </w:lvl>
    <w:lvl w:ilvl="3">
      <w:start w:val="1"/>
      <w:numFmt w:val="lowerRoman"/>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7F32454"/>
    <w:multiLevelType w:val="hybridMultilevel"/>
    <w:tmpl w:val="D3D632CC"/>
    <w:lvl w:ilvl="0" w:tplc="432C6406">
      <w:numFmt w:val="bullet"/>
      <w:pStyle w:val="Titre6"/>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B92FBA"/>
    <w:multiLevelType w:val="hybridMultilevel"/>
    <w:tmpl w:val="933A8FF0"/>
    <w:lvl w:ilvl="0" w:tplc="6DA001BA">
      <w:start w:val="6"/>
      <w:numFmt w:val="bullet"/>
      <w:lvlText w:val="-"/>
      <w:lvlJc w:val="left"/>
      <w:pPr>
        <w:ind w:left="1065" w:hanging="360"/>
      </w:pPr>
      <w:rPr>
        <w:rFonts w:ascii="Arial" w:eastAsia="Verdana"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9D824BF"/>
    <w:multiLevelType w:val="hybridMultilevel"/>
    <w:tmpl w:val="DE68F242"/>
    <w:lvl w:ilvl="0" w:tplc="12603EE6">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5201AB"/>
    <w:multiLevelType w:val="hybridMultilevel"/>
    <w:tmpl w:val="A6741864"/>
    <w:lvl w:ilvl="0" w:tplc="148238A2">
      <w:start w:val="1"/>
      <w:numFmt w:val="bullet"/>
      <w:pStyle w:val="Titre7"/>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5D537EC1"/>
    <w:multiLevelType w:val="hybridMultilevel"/>
    <w:tmpl w:val="76146FD6"/>
    <w:lvl w:ilvl="0" w:tplc="FAFA0CC6">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03107"/>
    <w:multiLevelType w:val="hybridMultilevel"/>
    <w:tmpl w:val="38DEFD0A"/>
    <w:lvl w:ilvl="0" w:tplc="6DA001BA">
      <w:start w:val="6"/>
      <w:numFmt w:val="bullet"/>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931350"/>
    <w:multiLevelType w:val="multilevel"/>
    <w:tmpl w:val="D65C3776"/>
    <w:lvl w:ilvl="0">
      <w:start w:val="1"/>
      <w:numFmt w:val="decimal"/>
      <w:lvlText w:val="%1."/>
      <w:lvlJc w:val="left"/>
      <w:pPr>
        <w:tabs>
          <w:tab w:val="num" w:pos="709"/>
        </w:tabs>
        <w:ind w:left="709" w:hanging="709"/>
      </w:pPr>
      <w:rPr>
        <w:rFonts w:ascii="Arial" w:hAnsi="Arial" w:hint="default"/>
        <w:b w:val="0"/>
        <w:i w:val="0"/>
      </w:rPr>
    </w:lvl>
    <w:lvl w:ilvl="1">
      <w:start w:val="1"/>
      <w:numFmt w:val="decimal"/>
      <w:isLgl/>
      <w:lvlText w:val="%1.%2"/>
      <w:lvlJc w:val="left"/>
      <w:pPr>
        <w:tabs>
          <w:tab w:val="num" w:pos="709"/>
        </w:tabs>
        <w:ind w:left="709" w:hanging="709"/>
      </w:pPr>
      <w:rPr>
        <w:rFonts w:ascii="Arial" w:hAnsi="Arial" w:hint="default"/>
        <w:b w:val="0"/>
        <w:i w:val="0"/>
      </w:rPr>
    </w:lvl>
    <w:lvl w:ilvl="2">
      <w:start w:val="1"/>
      <w:numFmt w:val="lowerLetter"/>
      <w:pStyle w:val="Titre3"/>
      <w:lvlText w:val="(%3)"/>
      <w:lvlJc w:val="left"/>
      <w:pPr>
        <w:tabs>
          <w:tab w:val="num" w:pos="1417"/>
        </w:tabs>
        <w:ind w:left="1417" w:hanging="708"/>
      </w:pPr>
      <w:rPr>
        <w:rFonts w:ascii="Arial" w:hAnsi="Arial" w:hint="default"/>
        <w:b w:val="0"/>
        <w:i w:val="0"/>
      </w:rPr>
    </w:lvl>
    <w:lvl w:ilvl="3">
      <w:start w:val="1"/>
      <w:numFmt w:val="lowerRoman"/>
      <w:pStyle w:val="Titre4"/>
      <w:lvlText w:val="(%4)"/>
      <w:lvlJc w:val="left"/>
      <w:pPr>
        <w:tabs>
          <w:tab w:val="num" w:pos="2126"/>
        </w:tabs>
        <w:ind w:left="2126" w:hanging="709"/>
      </w:pPr>
      <w:rPr>
        <w:rFonts w:ascii="Arial" w:hAnsi="Arial" w:hint="default"/>
        <w:b w:val="0"/>
        <w:i w:val="0"/>
      </w:rPr>
    </w:lvl>
    <w:lvl w:ilvl="4">
      <w:start w:val="1"/>
      <w:numFmt w:val="decimal"/>
      <w:lvlText w:val="(%5)"/>
      <w:lvlJc w:val="left"/>
      <w:pPr>
        <w:tabs>
          <w:tab w:val="num" w:pos="2835"/>
        </w:tabs>
        <w:ind w:left="2835" w:hanging="709"/>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6B6764C"/>
    <w:multiLevelType w:val="multilevel"/>
    <w:tmpl w:val="E86CF6E2"/>
    <w:lvl w:ilvl="0">
      <w:start w:val="1"/>
      <w:numFmt w:val="decimal"/>
      <w:lvlText w:val="%1."/>
      <w:lvlJc w:val="left"/>
      <w:pPr>
        <w:tabs>
          <w:tab w:val="num" w:pos="709"/>
        </w:tabs>
        <w:ind w:left="709" w:hanging="709"/>
      </w:pPr>
      <w:rPr>
        <w:rFonts w:ascii="Arial" w:hAnsi="Arial" w:cs="Arial" w:hint="default"/>
        <w:b/>
      </w:rPr>
    </w:lvl>
    <w:lvl w:ilvl="1">
      <w:start w:val="1"/>
      <w:numFmt w:val="decimal"/>
      <w:isLgl/>
      <w:lvlText w:val="%1.%2"/>
      <w:lvlJc w:val="left"/>
      <w:pPr>
        <w:tabs>
          <w:tab w:val="num" w:pos="1134"/>
        </w:tabs>
        <w:ind w:left="1134" w:hanging="709"/>
      </w:pPr>
      <w:rPr>
        <w:rFonts w:ascii="Arial" w:hAnsi="Arial" w:cs="Arial" w:hint="default"/>
        <w:b/>
        <w:i w:val="0"/>
      </w:rPr>
    </w:lvl>
    <w:lvl w:ilvl="2">
      <w:start w:val="1"/>
      <w:numFmt w:val="bullet"/>
      <w:lvlText w:val="-"/>
      <w:lvlJc w:val="left"/>
      <w:pPr>
        <w:tabs>
          <w:tab w:val="num" w:pos="1417"/>
        </w:tabs>
        <w:ind w:left="1417" w:hanging="708"/>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8"/>
  </w:num>
  <w:num w:numId="3">
    <w:abstractNumId w:val="2"/>
  </w:num>
  <w:num w:numId="4">
    <w:abstractNumId w:val="1"/>
  </w:num>
  <w:num w:numId="5">
    <w:abstractNumId w:val="5"/>
  </w:num>
  <w:num w:numId="6">
    <w:abstractNumId w:val="9"/>
  </w:num>
  <w:num w:numId="7">
    <w:abstractNumId w:val="6"/>
  </w:num>
  <w:num w:numId="8">
    <w:abstractNumId w:val="3"/>
  </w:num>
  <w:num w:numId="9">
    <w:abstractNumId w:val="4"/>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05"/>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7C"/>
    <w:rsid w:val="00016D6B"/>
    <w:rsid w:val="0002377F"/>
    <w:rsid w:val="0002744B"/>
    <w:rsid w:val="00032BE3"/>
    <w:rsid w:val="00035B34"/>
    <w:rsid w:val="000374A9"/>
    <w:rsid w:val="000618A1"/>
    <w:rsid w:val="0007670D"/>
    <w:rsid w:val="000B0F3B"/>
    <w:rsid w:val="000C1727"/>
    <w:rsid w:val="000C2285"/>
    <w:rsid w:val="000C44C6"/>
    <w:rsid w:val="000F726B"/>
    <w:rsid w:val="00113FB8"/>
    <w:rsid w:val="001146FE"/>
    <w:rsid w:val="0013601A"/>
    <w:rsid w:val="001505A9"/>
    <w:rsid w:val="00183341"/>
    <w:rsid w:val="00195D9B"/>
    <w:rsid w:val="001A24FB"/>
    <w:rsid w:val="001B22AE"/>
    <w:rsid w:val="001B39F6"/>
    <w:rsid w:val="001B775B"/>
    <w:rsid w:val="001C022A"/>
    <w:rsid w:val="001D1FA5"/>
    <w:rsid w:val="001D2E56"/>
    <w:rsid w:val="001D6A48"/>
    <w:rsid w:val="001D71DF"/>
    <w:rsid w:val="001E03EE"/>
    <w:rsid w:val="001E2C4D"/>
    <w:rsid w:val="00201EFC"/>
    <w:rsid w:val="00211E1D"/>
    <w:rsid w:val="002200DF"/>
    <w:rsid w:val="00232169"/>
    <w:rsid w:val="00237C41"/>
    <w:rsid w:val="00240C59"/>
    <w:rsid w:val="0024778B"/>
    <w:rsid w:val="00256960"/>
    <w:rsid w:val="002575D1"/>
    <w:rsid w:val="00265954"/>
    <w:rsid w:val="00274403"/>
    <w:rsid w:val="002819EB"/>
    <w:rsid w:val="00282AD7"/>
    <w:rsid w:val="00283CE0"/>
    <w:rsid w:val="00286BC4"/>
    <w:rsid w:val="00295C8E"/>
    <w:rsid w:val="002C027B"/>
    <w:rsid w:val="002C57B4"/>
    <w:rsid w:val="002F4B7F"/>
    <w:rsid w:val="002F6ED1"/>
    <w:rsid w:val="0030104A"/>
    <w:rsid w:val="00314CFF"/>
    <w:rsid w:val="00337CE5"/>
    <w:rsid w:val="0037500B"/>
    <w:rsid w:val="00392B48"/>
    <w:rsid w:val="00394A90"/>
    <w:rsid w:val="003A6756"/>
    <w:rsid w:val="003B7677"/>
    <w:rsid w:val="003E1358"/>
    <w:rsid w:val="00400255"/>
    <w:rsid w:val="0040600F"/>
    <w:rsid w:val="0042761F"/>
    <w:rsid w:val="00442761"/>
    <w:rsid w:val="00446FBE"/>
    <w:rsid w:val="00481504"/>
    <w:rsid w:val="004A5E7A"/>
    <w:rsid w:val="004B08EA"/>
    <w:rsid w:val="004B64EC"/>
    <w:rsid w:val="004C0214"/>
    <w:rsid w:val="004C234A"/>
    <w:rsid w:val="004C6205"/>
    <w:rsid w:val="004F7BD4"/>
    <w:rsid w:val="00502A85"/>
    <w:rsid w:val="00514E02"/>
    <w:rsid w:val="0052787B"/>
    <w:rsid w:val="0054021E"/>
    <w:rsid w:val="005729BB"/>
    <w:rsid w:val="00576361"/>
    <w:rsid w:val="00597262"/>
    <w:rsid w:val="005A76A9"/>
    <w:rsid w:val="005B2664"/>
    <w:rsid w:val="005B60BD"/>
    <w:rsid w:val="005C176D"/>
    <w:rsid w:val="005C6F11"/>
    <w:rsid w:val="005D1442"/>
    <w:rsid w:val="005D37E8"/>
    <w:rsid w:val="005E604F"/>
    <w:rsid w:val="005F5442"/>
    <w:rsid w:val="005F6369"/>
    <w:rsid w:val="006026F8"/>
    <w:rsid w:val="00613043"/>
    <w:rsid w:val="00616BC1"/>
    <w:rsid w:val="00627217"/>
    <w:rsid w:val="0063789F"/>
    <w:rsid w:val="0064563F"/>
    <w:rsid w:val="00654C12"/>
    <w:rsid w:val="006621F6"/>
    <w:rsid w:val="006B710A"/>
    <w:rsid w:val="006C010B"/>
    <w:rsid w:val="006C064A"/>
    <w:rsid w:val="006C4F28"/>
    <w:rsid w:val="006D6B9B"/>
    <w:rsid w:val="006E61D7"/>
    <w:rsid w:val="006E7C3C"/>
    <w:rsid w:val="006F6F4C"/>
    <w:rsid w:val="00705756"/>
    <w:rsid w:val="0072108B"/>
    <w:rsid w:val="00736D66"/>
    <w:rsid w:val="0074175E"/>
    <w:rsid w:val="00741D4D"/>
    <w:rsid w:val="00746746"/>
    <w:rsid w:val="00784CAE"/>
    <w:rsid w:val="00787D99"/>
    <w:rsid w:val="007A540D"/>
    <w:rsid w:val="007A6CD8"/>
    <w:rsid w:val="007C1A2C"/>
    <w:rsid w:val="007C240A"/>
    <w:rsid w:val="007C3E4A"/>
    <w:rsid w:val="007F0806"/>
    <w:rsid w:val="007F169F"/>
    <w:rsid w:val="007F37CB"/>
    <w:rsid w:val="008101E5"/>
    <w:rsid w:val="00816653"/>
    <w:rsid w:val="00830B9F"/>
    <w:rsid w:val="00855C2F"/>
    <w:rsid w:val="00857FF3"/>
    <w:rsid w:val="008615B3"/>
    <w:rsid w:val="00862130"/>
    <w:rsid w:val="008645CA"/>
    <w:rsid w:val="00871361"/>
    <w:rsid w:val="0088716D"/>
    <w:rsid w:val="00893809"/>
    <w:rsid w:val="008A001F"/>
    <w:rsid w:val="008B4031"/>
    <w:rsid w:val="008E2C54"/>
    <w:rsid w:val="008E4EA3"/>
    <w:rsid w:val="008E5839"/>
    <w:rsid w:val="008F12D8"/>
    <w:rsid w:val="008F371F"/>
    <w:rsid w:val="008F5D24"/>
    <w:rsid w:val="009024B1"/>
    <w:rsid w:val="00902BB1"/>
    <w:rsid w:val="00906FAF"/>
    <w:rsid w:val="009137C9"/>
    <w:rsid w:val="00932C18"/>
    <w:rsid w:val="009339A1"/>
    <w:rsid w:val="00941EBB"/>
    <w:rsid w:val="00943354"/>
    <w:rsid w:val="009461CE"/>
    <w:rsid w:val="0095577C"/>
    <w:rsid w:val="00956C00"/>
    <w:rsid w:val="00962BD7"/>
    <w:rsid w:val="00967905"/>
    <w:rsid w:val="00984DAA"/>
    <w:rsid w:val="009A114C"/>
    <w:rsid w:val="009D59EE"/>
    <w:rsid w:val="009E347E"/>
    <w:rsid w:val="00A011C1"/>
    <w:rsid w:val="00A02B69"/>
    <w:rsid w:val="00A232EA"/>
    <w:rsid w:val="00A42D07"/>
    <w:rsid w:val="00A528EB"/>
    <w:rsid w:val="00A64571"/>
    <w:rsid w:val="00A85161"/>
    <w:rsid w:val="00AA766E"/>
    <w:rsid w:val="00AB052E"/>
    <w:rsid w:val="00AB2239"/>
    <w:rsid w:val="00AB67E4"/>
    <w:rsid w:val="00B03BAF"/>
    <w:rsid w:val="00B03D7A"/>
    <w:rsid w:val="00B13D83"/>
    <w:rsid w:val="00B151DB"/>
    <w:rsid w:val="00B359AA"/>
    <w:rsid w:val="00B80682"/>
    <w:rsid w:val="00B907DC"/>
    <w:rsid w:val="00BA13D3"/>
    <w:rsid w:val="00BA66DC"/>
    <w:rsid w:val="00BB4FBE"/>
    <w:rsid w:val="00BC4688"/>
    <w:rsid w:val="00BC528B"/>
    <w:rsid w:val="00BC7C8E"/>
    <w:rsid w:val="00BD2E7A"/>
    <w:rsid w:val="00BD3C66"/>
    <w:rsid w:val="00BD5EEA"/>
    <w:rsid w:val="00BD6B6D"/>
    <w:rsid w:val="00BF54EA"/>
    <w:rsid w:val="00C334E5"/>
    <w:rsid w:val="00C34FDF"/>
    <w:rsid w:val="00C47033"/>
    <w:rsid w:val="00C72523"/>
    <w:rsid w:val="00C72A1B"/>
    <w:rsid w:val="00C76CDD"/>
    <w:rsid w:val="00C80678"/>
    <w:rsid w:val="00C83478"/>
    <w:rsid w:val="00C908B3"/>
    <w:rsid w:val="00CA6668"/>
    <w:rsid w:val="00CB442E"/>
    <w:rsid w:val="00CC3555"/>
    <w:rsid w:val="00CC49E4"/>
    <w:rsid w:val="00CD06F4"/>
    <w:rsid w:val="00CE2602"/>
    <w:rsid w:val="00D214F0"/>
    <w:rsid w:val="00D2163C"/>
    <w:rsid w:val="00D346F4"/>
    <w:rsid w:val="00D535DA"/>
    <w:rsid w:val="00D72BF4"/>
    <w:rsid w:val="00D7539C"/>
    <w:rsid w:val="00D97C0D"/>
    <w:rsid w:val="00DA3AE4"/>
    <w:rsid w:val="00DA3FDD"/>
    <w:rsid w:val="00DB1ED5"/>
    <w:rsid w:val="00DF6F63"/>
    <w:rsid w:val="00E01078"/>
    <w:rsid w:val="00E0741D"/>
    <w:rsid w:val="00E104D7"/>
    <w:rsid w:val="00E206A2"/>
    <w:rsid w:val="00E24EB4"/>
    <w:rsid w:val="00E46298"/>
    <w:rsid w:val="00E5203E"/>
    <w:rsid w:val="00E55EA4"/>
    <w:rsid w:val="00E57304"/>
    <w:rsid w:val="00E85B7D"/>
    <w:rsid w:val="00E91C90"/>
    <w:rsid w:val="00EA0E34"/>
    <w:rsid w:val="00EB70AE"/>
    <w:rsid w:val="00EB78C1"/>
    <w:rsid w:val="00EC12DD"/>
    <w:rsid w:val="00ED3835"/>
    <w:rsid w:val="00EF00F4"/>
    <w:rsid w:val="00F100B1"/>
    <w:rsid w:val="00F50A76"/>
    <w:rsid w:val="00F511BF"/>
    <w:rsid w:val="00F55CF0"/>
    <w:rsid w:val="00F61DEE"/>
    <w:rsid w:val="00F63EAB"/>
    <w:rsid w:val="00F6580C"/>
    <w:rsid w:val="00F7711B"/>
    <w:rsid w:val="00F777E1"/>
    <w:rsid w:val="00F848E0"/>
    <w:rsid w:val="00FA6772"/>
    <w:rsid w:val="00FC275E"/>
    <w:rsid w:val="00FE24BF"/>
    <w:rsid w:val="00FF59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0A59ABCF-2F99-4CCA-9A59-FDC14075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Verdan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6"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post titre 2"/>
    <w:qFormat/>
    <w:rsid w:val="00D535DA"/>
    <w:pPr>
      <w:spacing w:after="210" w:line="264" w:lineRule="auto"/>
      <w:jc w:val="both"/>
    </w:pPr>
    <w:rPr>
      <w:rFonts w:ascii="Arial" w:hAnsi="Arial" w:cs="Arial"/>
      <w:color w:val="000000"/>
      <w:sz w:val="21"/>
      <w:szCs w:val="21"/>
    </w:rPr>
  </w:style>
  <w:style w:type="paragraph" w:styleId="Titre1">
    <w:name w:val="heading 1"/>
    <w:basedOn w:val="Normal"/>
    <w:next w:val="Normal"/>
    <w:link w:val="Titre1Car"/>
    <w:autoRedefine/>
    <w:uiPriority w:val="1"/>
    <w:qFormat/>
    <w:rsid w:val="00984DAA"/>
    <w:pPr>
      <w:numPr>
        <w:numId w:val="1"/>
      </w:numPr>
      <w:spacing w:before="240" w:after="240"/>
      <w:ind w:left="426" w:right="1984" w:hanging="426"/>
      <w:contextualSpacing/>
      <w:outlineLvl w:val="0"/>
    </w:pPr>
    <w:rPr>
      <w:b/>
      <w:bCs/>
      <w:smallCaps/>
    </w:rPr>
  </w:style>
  <w:style w:type="paragraph" w:styleId="Titre2">
    <w:name w:val="heading 2"/>
    <w:basedOn w:val="Normal"/>
    <w:next w:val="Normal"/>
    <w:link w:val="Titre2Car"/>
    <w:autoRedefine/>
    <w:qFormat/>
    <w:rsid w:val="00627217"/>
    <w:pPr>
      <w:tabs>
        <w:tab w:val="left" w:pos="7938"/>
      </w:tabs>
      <w:contextualSpacing/>
      <w:outlineLvl w:val="1"/>
    </w:pPr>
    <w:rPr>
      <w:b/>
    </w:rPr>
  </w:style>
  <w:style w:type="paragraph" w:styleId="Titre3">
    <w:name w:val="heading 3"/>
    <w:basedOn w:val="Normal"/>
    <w:next w:val="Titre5"/>
    <w:link w:val="Titre3Car"/>
    <w:uiPriority w:val="3"/>
    <w:qFormat/>
    <w:rsid w:val="00D535DA"/>
    <w:pPr>
      <w:keepNext/>
      <w:numPr>
        <w:ilvl w:val="2"/>
        <w:numId w:val="2"/>
      </w:numPr>
      <w:tabs>
        <w:tab w:val="left" w:pos="1247"/>
      </w:tabs>
      <w:spacing w:after="220"/>
      <w:outlineLvl w:val="2"/>
    </w:pPr>
    <w:rPr>
      <w:color w:val="auto"/>
      <w:kern w:val="28"/>
      <w:szCs w:val="20"/>
    </w:rPr>
  </w:style>
  <w:style w:type="paragraph" w:styleId="Titre4">
    <w:name w:val="heading 4"/>
    <w:basedOn w:val="Normal"/>
    <w:next w:val="Titre5"/>
    <w:link w:val="Titre4Car"/>
    <w:uiPriority w:val="4"/>
    <w:qFormat/>
    <w:rsid w:val="00D535DA"/>
    <w:pPr>
      <w:keepNext/>
      <w:numPr>
        <w:ilvl w:val="3"/>
        <w:numId w:val="2"/>
      </w:numPr>
      <w:spacing w:before="240" w:after="60"/>
      <w:outlineLvl w:val="3"/>
    </w:pPr>
    <w:rPr>
      <w:rFonts w:cs="Times New Roman"/>
      <w:kern w:val="28"/>
      <w:lang w:val="en-GB"/>
    </w:rPr>
  </w:style>
  <w:style w:type="paragraph" w:styleId="Titre5">
    <w:name w:val="heading 5"/>
    <w:basedOn w:val="Normal"/>
    <w:link w:val="Titre5Car"/>
    <w:uiPriority w:val="5"/>
    <w:qFormat/>
    <w:rsid w:val="00D535DA"/>
    <w:pPr>
      <w:ind w:left="1276"/>
      <w:outlineLvl w:val="4"/>
    </w:pPr>
    <w:rPr>
      <w:color w:val="auto"/>
    </w:rPr>
  </w:style>
  <w:style w:type="paragraph" w:styleId="Titre6">
    <w:name w:val="heading 6"/>
    <w:basedOn w:val="Titre5"/>
    <w:link w:val="Titre6Car"/>
    <w:uiPriority w:val="6"/>
    <w:qFormat/>
    <w:rsid w:val="00D535DA"/>
    <w:pPr>
      <w:numPr>
        <w:numId w:val="3"/>
      </w:numPr>
      <w:outlineLvl w:val="5"/>
    </w:pPr>
  </w:style>
  <w:style w:type="paragraph" w:styleId="Titre7">
    <w:name w:val="heading 7"/>
    <w:basedOn w:val="Titre6"/>
    <w:link w:val="Titre7Car"/>
    <w:uiPriority w:val="9"/>
    <w:unhideWhenUsed/>
    <w:qFormat/>
    <w:rsid w:val="00D535DA"/>
    <w:pPr>
      <w:numPr>
        <w:numId w:val="5"/>
      </w:num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984DAA"/>
    <w:rPr>
      <w:rFonts w:ascii="Arial" w:hAnsi="Arial" w:cs="Arial"/>
      <w:b/>
      <w:bCs/>
      <w:smallCaps/>
      <w:color w:val="000000"/>
      <w:sz w:val="21"/>
      <w:szCs w:val="21"/>
    </w:rPr>
  </w:style>
  <w:style w:type="character" w:customStyle="1" w:styleId="Titre2Car">
    <w:name w:val="Titre 2 Car"/>
    <w:basedOn w:val="Policepardfaut"/>
    <w:link w:val="Titre2"/>
    <w:rsid w:val="00627217"/>
    <w:rPr>
      <w:rFonts w:ascii="Arial" w:hAnsi="Arial" w:cs="Arial"/>
      <w:b/>
      <w:color w:val="000000"/>
      <w:sz w:val="21"/>
      <w:szCs w:val="21"/>
    </w:rPr>
  </w:style>
  <w:style w:type="character" w:customStyle="1" w:styleId="Titre3Car">
    <w:name w:val="Titre 3 Car"/>
    <w:basedOn w:val="Policepardfaut"/>
    <w:link w:val="Titre3"/>
    <w:uiPriority w:val="3"/>
    <w:rsid w:val="00D535DA"/>
    <w:rPr>
      <w:rFonts w:ascii="Arial" w:hAnsi="Arial" w:cs="Arial"/>
      <w:kern w:val="28"/>
      <w:sz w:val="21"/>
      <w:szCs w:val="20"/>
    </w:rPr>
  </w:style>
  <w:style w:type="character" w:customStyle="1" w:styleId="Titre4Car">
    <w:name w:val="Titre 4 Car"/>
    <w:basedOn w:val="Policepardfaut"/>
    <w:link w:val="Titre4"/>
    <w:uiPriority w:val="4"/>
    <w:rsid w:val="00D535DA"/>
    <w:rPr>
      <w:rFonts w:ascii="Arial" w:hAnsi="Arial" w:cs="Times New Roman"/>
      <w:color w:val="000000"/>
      <w:kern w:val="28"/>
      <w:sz w:val="21"/>
      <w:szCs w:val="21"/>
      <w:lang w:val="en-GB"/>
    </w:rPr>
  </w:style>
  <w:style w:type="character" w:customStyle="1" w:styleId="Titre5Car">
    <w:name w:val="Titre 5 Car"/>
    <w:basedOn w:val="Policepardfaut"/>
    <w:link w:val="Titre5"/>
    <w:uiPriority w:val="5"/>
    <w:rsid w:val="00D535DA"/>
    <w:rPr>
      <w:rFonts w:ascii="Arial" w:hAnsi="Arial" w:cs="Arial"/>
      <w:sz w:val="21"/>
      <w:szCs w:val="21"/>
    </w:rPr>
  </w:style>
  <w:style w:type="character" w:customStyle="1" w:styleId="docContentfontsize8">
    <w:name w:val="docContent_fontsize8"/>
    <w:basedOn w:val="Policepardfaut"/>
    <w:semiHidden/>
    <w:rsid w:val="00D535DA"/>
    <w:rPr>
      <w:sz w:val="14"/>
      <w:szCs w:val="14"/>
    </w:rPr>
  </w:style>
  <w:style w:type="paragraph" w:styleId="En-tte">
    <w:name w:val="header"/>
    <w:basedOn w:val="Normal"/>
    <w:link w:val="En-tteCar"/>
    <w:uiPriority w:val="99"/>
    <w:unhideWhenUsed/>
    <w:rsid w:val="00D535DA"/>
    <w:pPr>
      <w:tabs>
        <w:tab w:val="center" w:pos="4536"/>
        <w:tab w:val="right" w:pos="9072"/>
      </w:tabs>
      <w:spacing w:after="0" w:line="240" w:lineRule="auto"/>
    </w:pPr>
  </w:style>
  <w:style w:type="character" w:customStyle="1" w:styleId="En-tteCar">
    <w:name w:val="En-tête Car"/>
    <w:basedOn w:val="Policepardfaut"/>
    <w:link w:val="En-tte"/>
    <w:uiPriority w:val="99"/>
    <w:rsid w:val="00D535DA"/>
    <w:rPr>
      <w:rFonts w:ascii="Arial" w:hAnsi="Arial" w:cs="Arial"/>
      <w:color w:val="000000"/>
      <w:sz w:val="21"/>
      <w:szCs w:val="21"/>
    </w:rPr>
  </w:style>
  <w:style w:type="paragraph" w:customStyle="1" w:styleId="Level1">
    <w:name w:val="Level 1"/>
    <w:basedOn w:val="Normal"/>
    <w:next w:val="Normal"/>
    <w:semiHidden/>
    <w:rsid w:val="00D535DA"/>
    <w:pPr>
      <w:tabs>
        <w:tab w:val="num" w:pos="709"/>
      </w:tabs>
      <w:spacing w:after="220"/>
      <w:ind w:left="709" w:hanging="709"/>
      <w:outlineLvl w:val="0"/>
    </w:pPr>
    <w:rPr>
      <w:rFonts w:cs="Times New Roman"/>
      <w:color w:val="auto"/>
      <w:kern w:val="28"/>
      <w:szCs w:val="20"/>
      <w:lang w:val="en-GB"/>
    </w:rPr>
  </w:style>
  <w:style w:type="paragraph" w:customStyle="1" w:styleId="Level2">
    <w:name w:val="Level 2"/>
    <w:basedOn w:val="Normal"/>
    <w:next w:val="Normal"/>
    <w:semiHidden/>
    <w:rsid w:val="00D535DA"/>
    <w:pPr>
      <w:tabs>
        <w:tab w:val="num" w:pos="709"/>
      </w:tabs>
      <w:spacing w:after="220"/>
      <w:ind w:left="709" w:hanging="709"/>
      <w:outlineLvl w:val="1"/>
    </w:pPr>
    <w:rPr>
      <w:rFonts w:cs="Times New Roman"/>
      <w:color w:val="auto"/>
      <w:kern w:val="28"/>
      <w:szCs w:val="20"/>
      <w:lang w:val="en-GB"/>
    </w:rPr>
  </w:style>
  <w:style w:type="paragraph" w:customStyle="1" w:styleId="Level3">
    <w:name w:val="Level 3"/>
    <w:basedOn w:val="Normal"/>
    <w:next w:val="Normal"/>
    <w:semiHidden/>
    <w:rsid w:val="00D535DA"/>
    <w:pPr>
      <w:tabs>
        <w:tab w:val="num" w:pos="1417"/>
      </w:tabs>
      <w:spacing w:after="220"/>
      <w:ind w:left="1417" w:hanging="708"/>
      <w:outlineLvl w:val="2"/>
    </w:pPr>
    <w:rPr>
      <w:rFonts w:cs="Times New Roman"/>
      <w:color w:val="auto"/>
      <w:kern w:val="28"/>
      <w:szCs w:val="20"/>
      <w:lang w:val="en-GB"/>
    </w:rPr>
  </w:style>
  <w:style w:type="paragraph" w:customStyle="1" w:styleId="Level5">
    <w:name w:val="Level 5"/>
    <w:basedOn w:val="Normal"/>
    <w:next w:val="Normal"/>
    <w:semiHidden/>
    <w:rsid w:val="00D535DA"/>
    <w:pPr>
      <w:tabs>
        <w:tab w:val="num" w:pos="2835"/>
      </w:tabs>
      <w:spacing w:after="220"/>
      <w:ind w:left="2835" w:hanging="709"/>
      <w:outlineLvl w:val="4"/>
    </w:pPr>
    <w:rPr>
      <w:rFonts w:cs="Times New Roman"/>
      <w:color w:val="auto"/>
      <w:kern w:val="28"/>
      <w:szCs w:val="20"/>
      <w:lang w:val="en-GB"/>
    </w:rPr>
  </w:style>
  <w:style w:type="character" w:styleId="Lienhypertexte">
    <w:name w:val="Hyperlink"/>
    <w:basedOn w:val="Policepardfaut"/>
    <w:uiPriority w:val="99"/>
    <w:semiHidden/>
    <w:rsid w:val="00D535DA"/>
    <w:rPr>
      <w:color w:val="0563C1" w:themeColor="hyperlink"/>
      <w:u w:val="single"/>
    </w:rPr>
  </w:style>
  <w:style w:type="paragraph" w:styleId="Paragraphedeliste">
    <w:name w:val="List Paragraph"/>
    <w:basedOn w:val="Normal"/>
    <w:uiPriority w:val="34"/>
    <w:qFormat/>
    <w:rsid w:val="00D535DA"/>
    <w:pPr>
      <w:ind w:left="720"/>
      <w:contextualSpacing/>
    </w:pPr>
  </w:style>
  <w:style w:type="paragraph" w:styleId="Pieddepage">
    <w:name w:val="footer"/>
    <w:basedOn w:val="Normal"/>
    <w:link w:val="PieddepageCar"/>
    <w:uiPriority w:val="99"/>
    <w:rsid w:val="00D535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35DA"/>
    <w:rPr>
      <w:rFonts w:ascii="Arial" w:hAnsi="Arial" w:cs="Arial"/>
      <w:color w:val="000000"/>
      <w:sz w:val="21"/>
      <w:szCs w:val="21"/>
    </w:rPr>
  </w:style>
  <w:style w:type="paragraph" w:styleId="Sansinterligne">
    <w:name w:val="No Spacing"/>
    <w:uiPriority w:val="1"/>
    <w:qFormat/>
    <w:rsid w:val="00D535DA"/>
    <w:pPr>
      <w:spacing w:after="0" w:line="240" w:lineRule="auto"/>
    </w:pPr>
    <w:rPr>
      <w:rFonts w:ascii="Arial" w:eastAsia="Times New Roman" w:hAnsi="Arial"/>
      <w:sz w:val="21"/>
      <w:szCs w:val="21"/>
    </w:rPr>
  </w:style>
  <w:style w:type="paragraph" w:customStyle="1" w:styleId="Style1">
    <w:name w:val="Style1"/>
    <w:basedOn w:val="Titre3"/>
    <w:semiHidden/>
    <w:rsid w:val="00D535DA"/>
    <w:pPr>
      <w:numPr>
        <w:numId w:val="4"/>
      </w:numPr>
      <w:tabs>
        <w:tab w:val="clear" w:pos="1417"/>
      </w:tabs>
    </w:pPr>
  </w:style>
  <w:style w:type="paragraph" w:customStyle="1" w:styleId="Style2">
    <w:name w:val="Style2"/>
    <w:basedOn w:val="Titre5"/>
    <w:semiHidden/>
    <w:rsid w:val="00D535DA"/>
  </w:style>
  <w:style w:type="paragraph" w:customStyle="1" w:styleId="Tableau">
    <w:name w:val="Tableau"/>
    <w:basedOn w:val="Normal"/>
    <w:link w:val="TableauCar"/>
    <w:uiPriority w:val="1"/>
    <w:qFormat/>
    <w:rsid w:val="00D535DA"/>
    <w:pPr>
      <w:spacing w:after="0"/>
      <w:contextualSpacing/>
    </w:pPr>
    <w:rPr>
      <w:noProof/>
    </w:rPr>
  </w:style>
  <w:style w:type="character" w:customStyle="1" w:styleId="TableauCar">
    <w:name w:val="Tableau Car"/>
    <w:basedOn w:val="Policepardfaut"/>
    <w:link w:val="Tableau"/>
    <w:uiPriority w:val="1"/>
    <w:rsid w:val="00D535DA"/>
    <w:rPr>
      <w:rFonts w:ascii="Arial" w:hAnsi="Arial" w:cs="Arial"/>
      <w:noProof/>
      <w:color w:val="000000"/>
      <w:sz w:val="21"/>
      <w:szCs w:val="21"/>
    </w:rPr>
  </w:style>
  <w:style w:type="paragraph" w:styleId="Textedebulles">
    <w:name w:val="Balloon Text"/>
    <w:basedOn w:val="Normal"/>
    <w:link w:val="TextedebullesCar"/>
    <w:uiPriority w:val="99"/>
    <w:semiHidden/>
    <w:unhideWhenUsed/>
    <w:rsid w:val="00D53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5DA"/>
    <w:rPr>
      <w:rFonts w:ascii="Segoe UI" w:hAnsi="Segoe UI" w:cs="Segoe UI"/>
      <w:color w:val="000000"/>
      <w:sz w:val="18"/>
      <w:szCs w:val="18"/>
    </w:rPr>
  </w:style>
  <w:style w:type="paragraph" w:customStyle="1" w:styleId="Titre0">
    <w:name w:val="Titre 0"/>
    <w:basedOn w:val="Sansinterligne"/>
    <w:next w:val="Normal"/>
    <w:link w:val="Titre0Car"/>
    <w:uiPriority w:val="1"/>
    <w:qFormat/>
    <w:rsid w:val="00D535DA"/>
    <w:pPr>
      <w:outlineLvl w:val="0"/>
    </w:pPr>
    <w:rPr>
      <w:rFonts w:cs="Times New Roman"/>
      <w:b/>
      <w:smallCaps/>
      <w:color w:val="000000"/>
    </w:rPr>
  </w:style>
  <w:style w:type="character" w:customStyle="1" w:styleId="Titre0Car">
    <w:name w:val="Titre 0 Car"/>
    <w:basedOn w:val="Titre1Car"/>
    <w:link w:val="Titre0"/>
    <w:uiPriority w:val="1"/>
    <w:rsid w:val="00D535DA"/>
    <w:rPr>
      <w:rFonts w:ascii="Arial" w:eastAsia="Times New Roman" w:hAnsi="Arial" w:cs="Times New Roman"/>
      <w:b/>
      <w:bCs w:val="0"/>
      <w:smallCaps/>
      <w:color w:val="000000"/>
      <w:sz w:val="21"/>
      <w:szCs w:val="21"/>
    </w:rPr>
  </w:style>
  <w:style w:type="character" w:customStyle="1" w:styleId="Titre7Car">
    <w:name w:val="Titre 7 Car"/>
    <w:basedOn w:val="Policepardfaut"/>
    <w:link w:val="Titre7"/>
    <w:uiPriority w:val="9"/>
    <w:rsid w:val="00D535DA"/>
    <w:rPr>
      <w:rFonts w:ascii="Arial" w:hAnsi="Arial" w:cs="Arial"/>
      <w:sz w:val="21"/>
      <w:szCs w:val="21"/>
    </w:rPr>
  </w:style>
  <w:style w:type="character" w:customStyle="1" w:styleId="Titre6Car">
    <w:name w:val="Titre 6 Car"/>
    <w:basedOn w:val="Policepardfaut"/>
    <w:link w:val="Titre6"/>
    <w:uiPriority w:val="6"/>
    <w:rsid w:val="00D535DA"/>
    <w:rPr>
      <w:rFonts w:ascii="Arial" w:hAnsi="Arial" w:cs="Arial"/>
      <w:sz w:val="21"/>
      <w:szCs w:val="21"/>
    </w:rPr>
  </w:style>
  <w:style w:type="table" w:styleId="Grilledutableau">
    <w:name w:val="Table Grid"/>
    <w:basedOn w:val="TableauNormal"/>
    <w:uiPriority w:val="59"/>
    <w:rsid w:val="00F6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D37E8"/>
    <w:pPr>
      <w:autoSpaceDE w:val="0"/>
      <w:autoSpaceDN w:val="0"/>
      <w:adjustRightInd w:val="0"/>
      <w:spacing w:after="0" w:line="288" w:lineRule="auto"/>
      <w:jc w:val="left"/>
      <w:textAlignment w:val="center"/>
    </w:pPr>
    <w:rPr>
      <w:rFonts w:ascii="Minion Pro" w:hAnsi="Minion Pro" w:cs="Minion Pro"/>
      <w:sz w:val="24"/>
      <w:szCs w:val="24"/>
      <w:lang w:val="en-US"/>
    </w:rPr>
  </w:style>
  <w:style w:type="character" w:styleId="lev">
    <w:name w:val="Strong"/>
    <w:basedOn w:val="Policepardfaut"/>
    <w:uiPriority w:val="22"/>
    <w:qFormat/>
    <w:rsid w:val="006621F6"/>
    <w:rPr>
      <w:b/>
      <w:bCs/>
    </w:rPr>
  </w:style>
  <w:style w:type="paragraph" w:customStyle="1" w:styleId="p-revue">
    <w:name w:val="p-revue"/>
    <w:basedOn w:val="Normal"/>
    <w:rsid w:val="006621F6"/>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refdocenrichie">
    <w:name w:val="refdocenrichie"/>
    <w:basedOn w:val="Policepardfaut"/>
    <w:rsid w:val="006621F6"/>
  </w:style>
  <w:style w:type="character" w:styleId="Accentuation">
    <w:name w:val="Emphasis"/>
    <w:basedOn w:val="Policepardfaut"/>
    <w:uiPriority w:val="20"/>
    <w:qFormat/>
    <w:rsid w:val="006621F6"/>
    <w:rPr>
      <w:i/>
      <w:iCs/>
    </w:rPr>
  </w:style>
  <w:style w:type="paragraph" w:styleId="NormalWeb">
    <w:name w:val="Normal (Web)"/>
    <w:basedOn w:val="Normal"/>
    <w:uiPriority w:val="99"/>
    <w:unhideWhenUsed/>
    <w:rsid w:val="006621F6"/>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paragraph" w:customStyle="1" w:styleId="bodytext">
    <w:name w:val="bodytext"/>
    <w:basedOn w:val="Normal"/>
    <w:rsid w:val="00EA0E34"/>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character" w:customStyle="1" w:styleId="apple-converted-space">
    <w:name w:val="apple-converted-space"/>
    <w:basedOn w:val="Policepardfaut"/>
    <w:rsid w:val="00862130"/>
  </w:style>
  <w:style w:type="character" w:customStyle="1" w:styleId="art">
    <w:name w:val="art"/>
    <w:basedOn w:val="Policepardfaut"/>
    <w:rsid w:val="00016D6B"/>
  </w:style>
  <w:style w:type="character" w:customStyle="1" w:styleId="txtbold">
    <w:name w:val="txtbold"/>
    <w:basedOn w:val="Policepardfaut"/>
    <w:rsid w:val="00016D6B"/>
  </w:style>
  <w:style w:type="character" w:customStyle="1" w:styleId="txt">
    <w:name w:val="txt"/>
    <w:basedOn w:val="Policepardfaut"/>
    <w:rsid w:val="00016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00173">
      <w:bodyDiv w:val="1"/>
      <w:marLeft w:val="0"/>
      <w:marRight w:val="0"/>
      <w:marTop w:val="0"/>
      <w:marBottom w:val="0"/>
      <w:divBdr>
        <w:top w:val="none" w:sz="0" w:space="0" w:color="auto"/>
        <w:left w:val="none" w:sz="0" w:space="0" w:color="auto"/>
        <w:bottom w:val="none" w:sz="0" w:space="0" w:color="auto"/>
        <w:right w:val="none" w:sz="0" w:space="0" w:color="auto"/>
      </w:divBdr>
      <w:divsChild>
        <w:div w:id="397677755">
          <w:marLeft w:val="0"/>
          <w:marRight w:val="0"/>
          <w:marTop w:val="0"/>
          <w:marBottom w:val="0"/>
          <w:divBdr>
            <w:top w:val="none" w:sz="0" w:space="0" w:color="auto"/>
            <w:left w:val="none" w:sz="0" w:space="0" w:color="auto"/>
            <w:bottom w:val="none" w:sz="0" w:space="0" w:color="auto"/>
            <w:right w:val="none" w:sz="0" w:space="0" w:color="auto"/>
          </w:divBdr>
          <w:divsChild>
            <w:div w:id="18714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1854">
      <w:bodyDiv w:val="1"/>
      <w:marLeft w:val="0"/>
      <w:marRight w:val="0"/>
      <w:marTop w:val="0"/>
      <w:marBottom w:val="0"/>
      <w:divBdr>
        <w:top w:val="none" w:sz="0" w:space="0" w:color="auto"/>
        <w:left w:val="none" w:sz="0" w:space="0" w:color="auto"/>
        <w:bottom w:val="none" w:sz="0" w:space="0" w:color="auto"/>
        <w:right w:val="none" w:sz="0" w:space="0" w:color="auto"/>
      </w:divBdr>
      <w:divsChild>
        <w:div w:id="1831755494">
          <w:marLeft w:val="0"/>
          <w:marRight w:val="0"/>
          <w:marTop w:val="360"/>
          <w:marBottom w:val="600"/>
          <w:divBdr>
            <w:top w:val="none" w:sz="0" w:space="0" w:color="auto"/>
            <w:left w:val="none" w:sz="0" w:space="0" w:color="auto"/>
            <w:bottom w:val="none" w:sz="0" w:space="0" w:color="auto"/>
            <w:right w:val="none" w:sz="0" w:space="0" w:color="auto"/>
          </w:divBdr>
          <w:divsChild>
            <w:div w:id="987057157">
              <w:marLeft w:val="480"/>
              <w:marRight w:val="0"/>
              <w:marTop w:val="360"/>
              <w:marBottom w:val="360"/>
              <w:divBdr>
                <w:top w:val="none" w:sz="0" w:space="0" w:color="auto"/>
                <w:left w:val="none" w:sz="0" w:space="0" w:color="auto"/>
                <w:bottom w:val="none" w:sz="0" w:space="0" w:color="auto"/>
                <w:right w:val="none" w:sz="0" w:space="0" w:color="auto"/>
              </w:divBdr>
            </w:div>
          </w:divsChild>
        </w:div>
        <w:div w:id="2053386737">
          <w:marLeft w:val="0"/>
          <w:marRight w:val="0"/>
          <w:marTop w:val="0"/>
          <w:marBottom w:val="0"/>
          <w:divBdr>
            <w:top w:val="none" w:sz="0" w:space="0" w:color="auto"/>
            <w:left w:val="none" w:sz="0" w:space="0" w:color="auto"/>
            <w:bottom w:val="none" w:sz="0" w:space="0" w:color="auto"/>
            <w:right w:val="none" w:sz="0" w:space="0" w:color="auto"/>
          </w:divBdr>
          <w:divsChild>
            <w:div w:id="2041740100">
              <w:marLeft w:val="0"/>
              <w:marRight w:val="0"/>
              <w:marTop w:val="360"/>
              <w:marBottom w:val="360"/>
              <w:divBdr>
                <w:top w:val="none" w:sz="0" w:space="0" w:color="auto"/>
                <w:left w:val="none" w:sz="0" w:space="0" w:color="auto"/>
                <w:bottom w:val="none" w:sz="0" w:space="0" w:color="auto"/>
                <w:right w:val="none" w:sz="0" w:space="0" w:color="auto"/>
              </w:divBdr>
              <w:divsChild>
                <w:div w:id="13040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67473">
          <w:marLeft w:val="0"/>
          <w:marRight w:val="0"/>
          <w:marTop w:val="240"/>
          <w:marBottom w:val="120"/>
          <w:divBdr>
            <w:top w:val="none" w:sz="0" w:space="0" w:color="auto"/>
            <w:left w:val="none" w:sz="0" w:space="0" w:color="auto"/>
            <w:bottom w:val="none" w:sz="0" w:space="0" w:color="auto"/>
            <w:right w:val="none" w:sz="0" w:space="0" w:color="auto"/>
          </w:divBdr>
          <w:divsChild>
            <w:div w:id="329529309">
              <w:marLeft w:val="0"/>
              <w:marRight w:val="0"/>
              <w:marTop w:val="0"/>
              <w:marBottom w:val="0"/>
              <w:divBdr>
                <w:top w:val="none" w:sz="0" w:space="0" w:color="auto"/>
                <w:left w:val="none" w:sz="0" w:space="0" w:color="auto"/>
                <w:bottom w:val="none" w:sz="0" w:space="0" w:color="auto"/>
                <w:right w:val="none" w:sz="0" w:space="0" w:color="auto"/>
              </w:divBdr>
            </w:div>
          </w:divsChild>
        </w:div>
        <w:div w:id="1605767097">
          <w:marLeft w:val="0"/>
          <w:marRight w:val="0"/>
          <w:marTop w:val="0"/>
          <w:marBottom w:val="0"/>
          <w:divBdr>
            <w:top w:val="none" w:sz="0" w:space="0" w:color="auto"/>
            <w:left w:val="none" w:sz="0" w:space="0" w:color="auto"/>
            <w:bottom w:val="none" w:sz="0" w:space="0" w:color="auto"/>
            <w:right w:val="none" w:sz="0" w:space="0" w:color="auto"/>
          </w:divBdr>
          <w:divsChild>
            <w:div w:id="2124380718">
              <w:marLeft w:val="0"/>
              <w:marRight w:val="0"/>
              <w:marTop w:val="360"/>
              <w:marBottom w:val="360"/>
              <w:divBdr>
                <w:top w:val="none" w:sz="0" w:space="0" w:color="auto"/>
                <w:left w:val="none" w:sz="0" w:space="0" w:color="auto"/>
                <w:bottom w:val="none" w:sz="0" w:space="0" w:color="auto"/>
                <w:right w:val="none" w:sz="0" w:space="0" w:color="auto"/>
              </w:divBdr>
              <w:divsChild>
                <w:div w:id="119421866">
                  <w:marLeft w:val="0"/>
                  <w:marRight w:val="0"/>
                  <w:marTop w:val="0"/>
                  <w:marBottom w:val="0"/>
                  <w:divBdr>
                    <w:top w:val="single" w:sz="6" w:space="6" w:color="BACCDF"/>
                    <w:left w:val="single" w:sz="6" w:space="9" w:color="BACCDF"/>
                    <w:bottom w:val="single" w:sz="6" w:space="9" w:color="BACCDF"/>
                    <w:right w:val="single" w:sz="6" w:space="9" w:color="BACCDF"/>
                  </w:divBdr>
                </w:div>
              </w:divsChild>
            </w:div>
          </w:divsChild>
        </w:div>
      </w:divsChild>
    </w:div>
    <w:div w:id="1564873386">
      <w:bodyDiv w:val="1"/>
      <w:marLeft w:val="0"/>
      <w:marRight w:val="0"/>
      <w:marTop w:val="0"/>
      <w:marBottom w:val="0"/>
      <w:divBdr>
        <w:top w:val="none" w:sz="0" w:space="0" w:color="auto"/>
        <w:left w:val="none" w:sz="0" w:space="0" w:color="auto"/>
        <w:bottom w:val="none" w:sz="0" w:space="0" w:color="auto"/>
        <w:right w:val="none" w:sz="0" w:space="0" w:color="auto"/>
      </w:divBdr>
    </w:div>
    <w:div w:id="1717926038">
      <w:bodyDiv w:val="1"/>
      <w:marLeft w:val="0"/>
      <w:marRight w:val="0"/>
      <w:marTop w:val="0"/>
      <w:marBottom w:val="0"/>
      <w:divBdr>
        <w:top w:val="none" w:sz="0" w:space="0" w:color="auto"/>
        <w:left w:val="none" w:sz="0" w:space="0" w:color="auto"/>
        <w:bottom w:val="none" w:sz="0" w:space="0" w:color="auto"/>
        <w:right w:val="none" w:sz="0" w:space="0" w:color="auto"/>
      </w:divBdr>
    </w:div>
    <w:div w:id="1749306617">
      <w:bodyDiv w:val="1"/>
      <w:marLeft w:val="0"/>
      <w:marRight w:val="0"/>
      <w:marTop w:val="0"/>
      <w:marBottom w:val="0"/>
      <w:divBdr>
        <w:top w:val="none" w:sz="0" w:space="0" w:color="auto"/>
        <w:left w:val="none" w:sz="0" w:space="0" w:color="auto"/>
        <w:bottom w:val="none" w:sz="0" w:space="0" w:color="auto"/>
        <w:right w:val="none" w:sz="0" w:space="0" w:color="auto"/>
      </w:divBdr>
      <w:divsChild>
        <w:div w:id="2093619254">
          <w:marLeft w:val="0"/>
          <w:marRight w:val="0"/>
          <w:marTop w:val="240"/>
          <w:marBottom w:val="120"/>
          <w:divBdr>
            <w:top w:val="none" w:sz="0" w:space="0" w:color="auto"/>
            <w:left w:val="none" w:sz="0" w:space="0" w:color="auto"/>
            <w:bottom w:val="none" w:sz="0" w:space="0" w:color="auto"/>
            <w:right w:val="none" w:sz="0" w:space="0" w:color="auto"/>
          </w:divBdr>
          <w:divsChild>
            <w:div w:id="12261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4085">
      <w:bodyDiv w:val="1"/>
      <w:marLeft w:val="0"/>
      <w:marRight w:val="0"/>
      <w:marTop w:val="0"/>
      <w:marBottom w:val="0"/>
      <w:divBdr>
        <w:top w:val="none" w:sz="0" w:space="0" w:color="auto"/>
        <w:left w:val="none" w:sz="0" w:space="0" w:color="auto"/>
        <w:bottom w:val="none" w:sz="0" w:space="0" w:color="auto"/>
        <w:right w:val="none" w:sz="0" w:space="0" w:color="auto"/>
      </w:divBdr>
    </w:div>
    <w:div w:id="20571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F3BE-9D85-45CF-A00B-F89B6F4B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2089</Words>
  <Characters>11493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infhor</dc:creator>
  <cp:lastModifiedBy>Catalina Restrepo</cp:lastModifiedBy>
  <cp:revision>41</cp:revision>
  <cp:lastPrinted>2016-10-19T14:12:00Z</cp:lastPrinted>
  <dcterms:created xsi:type="dcterms:W3CDTF">2016-10-18T13:47:00Z</dcterms:created>
  <dcterms:modified xsi:type="dcterms:W3CDTF">2016-10-19T15:23:00Z</dcterms:modified>
</cp:coreProperties>
</file>